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DDD" w:rsidRPr="00721A2F" w:rsidRDefault="00420DDD" w:rsidP="00DB2EC0">
      <w:pPr>
        <w:spacing w:before="100" w:beforeAutospacing="1"/>
        <w:jc w:val="center"/>
        <w:rPr>
          <w:rFonts w:ascii="Times New Roman" w:eastAsia="LiberationSerif-Bold" w:hAnsi="Times New Roman"/>
          <w:b/>
          <w:color w:val="FF0000"/>
          <w:u w:val="single"/>
          <w:lang w:eastAsia="zh-CN"/>
        </w:rPr>
      </w:pPr>
    </w:p>
    <w:p w:rsidR="00037EB4" w:rsidRPr="000001E6" w:rsidRDefault="00037EB4" w:rsidP="00DB2EC0">
      <w:pPr>
        <w:spacing w:before="100" w:beforeAutospacing="1"/>
        <w:jc w:val="center"/>
        <w:rPr>
          <w:rFonts w:ascii="Times New Roman" w:eastAsia="LiberationSerif-Bold" w:hAnsi="Times New Roman"/>
          <w:b/>
          <w:u w:val="single"/>
          <w:lang w:eastAsia="zh-CN"/>
        </w:rPr>
      </w:pPr>
      <w:r w:rsidRPr="000001E6">
        <w:rPr>
          <w:rFonts w:ascii="Times New Roman" w:eastAsia="LiberationSerif-Bold" w:hAnsi="Times New Roman"/>
          <w:b/>
          <w:u w:val="single"/>
          <w:lang w:eastAsia="zh-CN"/>
        </w:rPr>
        <w:t>E</w:t>
      </w:r>
      <w:r w:rsidR="00530688" w:rsidRPr="000001E6">
        <w:rPr>
          <w:rFonts w:ascii="Times New Roman" w:eastAsia="LiberationSerif-Bold" w:hAnsi="Times New Roman"/>
          <w:b/>
          <w:u w:val="single"/>
          <w:lang w:eastAsia="zh-CN"/>
        </w:rPr>
        <w:t>STUDO TÉCNICO PRELIMINAR</w:t>
      </w:r>
      <w:r w:rsidR="00D9580A">
        <w:rPr>
          <w:rFonts w:ascii="Times New Roman" w:eastAsia="LiberationSerif-Bold" w:hAnsi="Times New Roman"/>
          <w:b/>
          <w:u w:val="single"/>
          <w:lang w:eastAsia="zh-CN"/>
        </w:rPr>
        <w:t xml:space="preserve"> </w:t>
      </w:r>
      <w:r w:rsidR="00371505" w:rsidRPr="000001E6">
        <w:rPr>
          <w:rFonts w:ascii="Times New Roman" w:eastAsia="LiberationSerif-Bold" w:hAnsi="Times New Roman"/>
          <w:b/>
          <w:u w:val="single"/>
          <w:lang w:eastAsia="zh-CN"/>
        </w:rPr>
        <w:t>–</w:t>
      </w:r>
      <w:r w:rsidR="00B00F36" w:rsidRPr="000001E6">
        <w:rPr>
          <w:rFonts w:ascii="Times New Roman" w:eastAsia="LiberationSerif-Bold" w:hAnsi="Times New Roman"/>
          <w:b/>
          <w:u w:val="single"/>
          <w:lang w:eastAsia="zh-CN"/>
        </w:rPr>
        <w:t xml:space="preserve"> ETP</w:t>
      </w:r>
    </w:p>
    <w:p w:rsidR="00371505" w:rsidRPr="000001E6" w:rsidRDefault="00371505" w:rsidP="00DB2EC0">
      <w:pPr>
        <w:spacing w:before="100" w:beforeAutospacing="1"/>
        <w:jc w:val="center"/>
        <w:rPr>
          <w:rFonts w:ascii="Times New Roman" w:eastAsia="LiberationSerif-Bold" w:hAnsi="Times New Roman"/>
          <w:b/>
          <w:u w:val="single"/>
          <w:lang w:eastAsia="zh-CN"/>
        </w:rPr>
      </w:pPr>
    </w:p>
    <w:p w:rsidR="004E1C56" w:rsidRPr="000001E6" w:rsidRDefault="00D373B7" w:rsidP="00D04550">
      <w:pPr>
        <w:jc w:val="left"/>
        <w:rPr>
          <w:rFonts w:ascii="Times New Roman" w:hAnsi="Times New Roman"/>
        </w:rPr>
      </w:pPr>
      <w:r w:rsidRPr="000001E6">
        <w:rPr>
          <w:rFonts w:ascii="Times New Roman" w:hAnsi="Times New Roman"/>
          <w:b/>
        </w:rPr>
        <w:t xml:space="preserve">NÚMERO: </w:t>
      </w:r>
      <w:r w:rsidR="00721A2F" w:rsidRPr="000001E6">
        <w:rPr>
          <w:rFonts w:ascii="Times New Roman" w:hAnsi="Times New Roman"/>
        </w:rPr>
        <w:t>01</w:t>
      </w:r>
      <w:r w:rsidR="00835144" w:rsidRPr="000001E6">
        <w:rPr>
          <w:rFonts w:ascii="Times New Roman" w:hAnsi="Times New Roman"/>
        </w:rPr>
        <w:t>/202</w:t>
      </w:r>
      <w:r w:rsidR="00721A2F" w:rsidRPr="000001E6">
        <w:rPr>
          <w:rFonts w:ascii="Times New Roman" w:hAnsi="Times New Roman"/>
        </w:rPr>
        <w:t>3</w:t>
      </w:r>
      <w:r w:rsidR="007B182A" w:rsidRPr="000001E6">
        <w:rPr>
          <w:rFonts w:ascii="Times New Roman" w:hAnsi="Times New Roman"/>
        </w:rPr>
        <w:t xml:space="preserve"> – </w:t>
      </w:r>
      <w:r w:rsidR="00604BD7" w:rsidRPr="000001E6">
        <w:rPr>
          <w:rFonts w:ascii="Times New Roman" w:hAnsi="Times New Roman"/>
        </w:rPr>
        <w:t>2ª/</w:t>
      </w:r>
      <w:r w:rsidR="007B182A" w:rsidRPr="000001E6">
        <w:rPr>
          <w:rFonts w:ascii="Times New Roman" w:hAnsi="Times New Roman"/>
        </w:rPr>
        <w:t>GRR/U</w:t>
      </w:r>
      <w:r w:rsidR="00B00F36" w:rsidRPr="000001E6">
        <w:rPr>
          <w:rFonts w:ascii="Times New Roman" w:hAnsi="Times New Roman"/>
        </w:rPr>
        <w:t>DT</w:t>
      </w:r>
      <w:r w:rsidR="00151736" w:rsidRPr="000001E6">
        <w:rPr>
          <w:rFonts w:ascii="Times New Roman" w:hAnsi="Times New Roman"/>
        </w:rPr>
        <w:t>.</w:t>
      </w:r>
    </w:p>
    <w:p w:rsidR="003419AC" w:rsidRPr="000001E6" w:rsidRDefault="003419AC" w:rsidP="00D04550">
      <w:pPr>
        <w:jc w:val="left"/>
        <w:rPr>
          <w:rFonts w:ascii="Times New Roman" w:hAnsi="Times New Roman"/>
        </w:rPr>
      </w:pPr>
    </w:p>
    <w:p w:rsidR="004E1C56" w:rsidRPr="000001E6" w:rsidRDefault="00835144" w:rsidP="00D04550">
      <w:pPr>
        <w:jc w:val="left"/>
        <w:rPr>
          <w:rFonts w:ascii="Times New Roman" w:hAnsi="Times New Roman"/>
        </w:rPr>
      </w:pPr>
      <w:r w:rsidRPr="000001E6">
        <w:rPr>
          <w:rFonts w:ascii="Times New Roman" w:eastAsia="Calibri" w:hAnsi="Times New Roman"/>
          <w:b/>
          <w:bCs/>
        </w:rPr>
        <w:t>DATA</w:t>
      </w:r>
      <w:r w:rsidRPr="000001E6">
        <w:rPr>
          <w:rFonts w:ascii="Times New Roman" w:hAnsi="Times New Roman"/>
          <w:b/>
        </w:rPr>
        <w:t>:</w:t>
      </w:r>
      <w:r w:rsidR="00C35E71">
        <w:rPr>
          <w:rFonts w:ascii="Times New Roman" w:hAnsi="Times New Roman"/>
          <w:b/>
        </w:rPr>
        <w:t xml:space="preserve"> </w:t>
      </w:r>
      <w:r w:rsidR="009E194C">
        <w:rPr>
          <w:rFonts w:ascii="Times New Roman" w:hAnsi="Times New Roman"/>
        </w:rPr>
        <w:t>09</w:t>
      </w:r>
      <w:r w:rsidR="0020707E" w:rsidRPr="000001E6">
        <w:rPr>
          <w:rFonts w:ascii="Times New Roman" w:hAnsi="Times New Roman"/>
        </w:rPr>
        <w:t>/</w:t>
      </w:r>
      <w:r w:rsidR="00721A2F" w:rsidRPr="000001E6">
        <w:rPr>
          <w:rFonts w:ascii="Times New Roman" w:hAnsi="Times New Roman"/>
        </w:rPr>
        <w:t>03</w:t>
      </w:r>
      <w:r w:rsidRPr="000001E6">
        <w:rPr>
          <w:rFonts w:ascii="Times New Roman" w:hAnsi="Times New Roman"/>
        </w:rPr>
        <w:t>/202</w:t>
      </w:r>
      <w:r w:rsidR="00721A2F" w:rsidRPr="000001E6">
        <w:rPr>
          <w:rFonts w:ascii="Times New Roman" w:hAnsi="Times New Roman"/>
        </w:rPr>
        <w:t>3</w:t>
      </w:r>
      <w:r w:rsidR="00D04550" w:rsidRPr="000001E6">
        <w:rPr>
          <w:rFonts w:ascii="Times New Roman" w:hAnsi="Times New Roman"/>
        </w:rPr>
        <w:t>.</w:t>
      </w:r>
    </w:p>
    <w:p w:rsidR="00D04550" w:rsidRPr="000001E6" w:rsidRDefault="00D04550" w:rsidP="00D04550">
      <w:pPr>
        <w:jc w:val="left"/>
        <w:rPr>
          <w:rFonts w:ascii="Times New Roman" w:hAnsi="Times New Roman"/>
        </w:rPr>
      </w:pPr>
    </w:p>
    <w:p w:rsidR="004E1C56" w:rsidRPr="000001E6" w:rsidRDefault="00835144" w:rsidP="00D04550">
      <w:pPr>
        <w:rPr>
          <w:rFonts w:ascii="Times New Roman" w:eastAsia="Calibri" w:hAnsi="Times New Roman"/>
        </w:rPr>
      </w:pPr>
      <w:r w:rsidRPr="000001E6">
        <w:rPr>
          <w:rFonts w:ascii="Times New Roman" w:eastAsia="Calibri" w:hAnsi="Times New Roman"/>
          <w:b/>
          <w:bCs/>
        </w:rPr>
        <w:t>ORIGEM</w:t>
      </w:r>
      <w:r w:rsidR="00037EB4" w:rsidRPr="000001E6">
        <w:rPr>
          <w:rFonts w:ascii="Times New Roman" w:eastAsia="Calibri" w:hAnsi="Times New Roman"/>
          <w:b/>
          <w:bCs/>
        </w:rPr>
        <w:t>/ÁREA REQUISITANTE</w:t>
      </w:r>
      <w:r w:rsidRPr="000001E6">
        <w:rPr>
          <w:rFonts w:ascii="Times New Roman" w:eastAsia="Calibri" w:hAnsi="Times New Roman"/>
          <w:b/>
          <w:bCs/>
        </w:rPr>
        <w:t xml:space="preserve">: </w:t>
      </w:r>
      <w:r w:rsidR="00457E18" w:rsidRPr="000001E6">
        <w:rPr>
          <w:rFonts w:ascii="Times New Roman" w:eastAsia="Calibri" w:hAnsi="Times New Roman"/>
        </w:rPr>
        <w:t>2ª</w:t>
      </w:r>
      <w:r w:rsidR="00151736" w:rsidRPr="000001E6">
        <w:rPr>
          <w:rFonts w:ascii="Times New Roman" w:eastAsia="Calibri" w:hAnsi="Times New Roman"/>
        </w:rPr>
        <w:t>/</w:t>
      </w:r>
      <w:r w:rsidR="00457E18" w:rsidRPr="000001E6">
        <w:rPr>
          <w:rFonts w:ascii="Times New Roman" w:eastAsia="Calibri" w:hAnsi="Times New Roman"/>
        </w:rPr>
        <w:t>GRR</w:t>
      </w:r>
      <w:r w:rsidR="00D04550" w:rsidRPr="000001E6">
        <w:rPr>
          <w:rFonts w:ascii="Times New Roman" w:eastAsia="Calibri" w:hAnsi="Times New Roman"/>
        </w:rPr>
        <w:t>.</w:t>
      </w:r>
    </w:p>
    <w:p w:rsidR="003419AC" w:rsidRPr="000001E6" w:rsidRDefault="003419AC" w:rsidP="00D04550">
      <w:pPr>
        <w:rPr>
          <w:rFonts w:ascii="Times New Roman" w:hAnsi="Times New Roman"/>
        </w:rPr>
      </w:pPr>
    </w:p>
    <w:p w:rsidR="004E1C56" w:rsidRPr="000001E6" w:rsidRDefault="00235BD6" w:rsidP="00D04550">
      <w:pPr>
        <w:rPr>
          <w:rFonts w:ascii="Times New Roman" w:hAnsi="Times New Roman"/>
          <w:bCs/>
        </w:rPr>
      </w:pPr>
      <w:r w:rsidRPr="000001E6">
        <w:rPr>
          <w:rFonts w:ascii="Times New Roman" w:eastAsia="Calibri" w:hAnsi="Times New Roman"/>
          <w:b/>
          <w:bCs/>
        </w:rPr>
        <w:t xml:space="preserve">REFERÊNCIA: </w:t>
      </w:r>
      <w:r w:rsidRPr="000001E6">
        <w:rPr>
          <w:rFonts w:ascii="Times New Roman" w:hAnsi="Times New Roman"/>
          <w:bCs/>
        </w:rPr>
        <w:t xml:space="preserve">Processo nº </w:t>
      </w:r>
      <w:r w:rsidR="00721A2F" w:rsidRPr="000001E6">
        <w:rPr>
          <w:rFonts w:ascii="Times New Roman" w:hAnsi="Times New Roman"/>
          <w:bCs/>
        </w:rPr>
        <w:t>59520.000275/2023-11</w:t>
      </w:r>
      <w:r w:rsidR="00151736" w:rsidRPr="000001E6">
        <w:rPr>
          <w:rFonts w:ascii="Times New Roman" w:hAnsi="Times New Roman"/>
          <w:bCs/>
        </w:rPr>
        <w:t>-e.</w:t>
      </w:r>
    </w:p>
    <w:p w:rsidR="00D04550" w:rsidRPr="000001E6" w:rsidRDefault="00D04550" w:rsidP="00D04550">
      <w:pPr>
        <w:rPr>
          <w:rFonts w:ascii="Times New Roman" w:eastAsia="Calibri" w:hAnsi="Times New Roman"/>
        </w:rPr>
      </w:pPr>
    </w:p>
    <w:p w:rsidR="005A4DC0" w:rsidRPr="000001E6" w:rsidRDefault="005A4DC0" w:rsidP="00D04550">
      <w:pPr>
        <w:rPr>
          <w:rFonts w:ascii="Times New Roman" w:eastAsia="Calibri" w:hAnsi="Times New Roman"/>
        </w:rPr>
      </w:pPr>
    </w:p>
    <w:p w:rsidR="0021224B" w:rsidRPr="000001E6" w:rsidRDefault="00EA3299" w:rsidP="00D04550">
      <w:pPr>
        <w:pStyle w:val="Textbody"/>
        <w:spacing w:after="0"/>
        <w:jc w:val="both"/>
        <w:rPr>
          <w:rFonts w:eastAsia="Calibri" w:cs="Times New Roman"/>
          <w:b/>
          <w:bCs/>
        </w:rPr>
      </w:pPr>
      <w:r w:rsidRPr="000001E6">
        <w:rPr>
          <w:rFonts w:eastAsia="Calibri" w:cs="Times New Roman"/>
          <w:b/>
          <w:bCs/>
        </w:rPr>
        <w:t>1</w:t>
      </w:r>
      <w:r w:rsidR="0021224B" w:rsidRPr="000001E6">
        <w:rPr>
          <w:rFonts w:eastAsia="Calibri" w:cs="Times New Roman"/>
          <w:b/>
          <w:bCs/>
        </w:rPr>
        <w:t xml:space="preserve">. </w:t>
      </w:r>
      <w:r w:rsidR="003419AC" w:rsidRPr="000001E6">
        <w:rPr>
          <w:rFonts w:eastAsia="Calibri" w:cs="Times New Roman"/>
          <w:b/>
          <w:bCs/>
        </w:rPr>
        <w:t xml:space="preserve">CONTEXTUALIZAÇÃO / </w:t>
      </w:r>
      <w:r w:rsidRPr="000001E6">
        <w:rPr>
          <w:rFonts w:eastAsia="Calibri" w:cs="Times New Roman"/>
          <w:b/>
          <w:bCs/>
        </w:rPr>
        <w:t>HISTÓRICO</w:t>
      </w:r>
    </w:p>
    <w:p w:rsidR="00D04550" w:rsidRPr="000001E6" w:rsidRDefault="00D04550" w:rsidP="00D04550">
      <w:pPr>
        <w:rPr>
          <w:rFonts w:ascii="Times New Roman" w:hAnsi="Times New Roman"/>
          <w:bCs/>
        </w:rPr>
      </w:pPr>
    </w:p>
    <w:p w:rsidR="000E60DF" w:rsidRPr="000001E6" w:rsidRDefault="00310789" w:rsidP="00D04550">
      <w:pPr>
        <w:rPr>
          <w:rFonts w:ascii="Times New Roman" w:hAnsi="Times New Roman"/>
          <w:shd w:val="clear" w:color="auto" w:fill="FFFFFF"/>
        </w:rPr>
      </w:pPr>
      <w:r w:rsidRPr="000001E6">
        <w:rPr>
          <w:rFonts w:ascii="Times New Roman" w:hAnsi="Times New Roman"/>
          <w:bCs/>
        </w:rPr>
        <w:t xml:space="preserve">A </w:t>
      </w:r>
      <w:r w:rsidR="007B7BD6" w:rsidRPr="000001E6">
        <w:rPr>
          <w:rFonts w:ascii="Times New Roman" w:hAnsi="Times New Roman"/>
          <w:bCs/>
        </w:rPr>
        <w:t>Codevasf</w:t>
      </w:r>
      <w:r w:rsidRPr="000001E6">
        <w:rPr>
          <w:rFonts w:ascii="Times New Roman" w:hAnsi="Times New Roman"/>
          <w:bCs/>
        </w:rPr>
        <w:t>, a partir da Lei nº 1</w:t>
      </w:r>
      <w:r w:rsidR="00CF130A" w:rsidRPr="000001E6">
        <w:rPr>
          <w:rFonts w:ascii="Times New Roman" w:hAnsi="Times New Roman"/>
          <w:bCs/>
        </w:rPr>
        <w:t>4</w:t>
      </w:r>
      <w:r w:rsidRPr="000001E6">
        <w:rPr>
          <w:rFonts w:ascii="Times New Roman" w:hAnsi="Times New Roman"/>
          <w:bCs/>
        </w:rPr>
        <w:t>.</w:t>
      </w:r>
      <w:r w:rsidR="00CF130A" w:rsidRPr="000001E6">
        <w:rPr>
          <w:rFonts w:ascii="Times New Roman" w:hAnsi="Times New Roman"/>
          <w:bCs/>
        </w:rPr>
        <w:t>053</w:t>
      </w:r>
      <w:r w:rsidRPr="000001E6">
        <w:rPr>
          <w:rFonts w:ascii="Times New Roman" w:hAnsi="Times New Roman"/>
          <w:bCs/>
        </w:rPr>
        <w:t>, de 0</w:t>
      </w:r>
      <w:r w:rsidR="00CF130A" w:rsidRPr="000001E6">
        <w:rPr>
          <w:rFonts w:ascii="Times New Roman" w:hAnsi="Times New Roman"/>
          <w:bCs/>
        </w:rPr>
        <w:t>8</w:t>
      </w:r>
      <w:r w:rsidRPr="000001E6">
        <w:rPr>
          <w:rFonts w:ascii="Times New Roman" w:hAnsi="Times New Roman"/>
          <w:bCs/>
        </w:rPr>
        <w:t xml:space="preserve"> de </w:t>
      </w:r>
      <w:r w:rsidR="00CF130A" w:rsidRPr="000001E6">
        <w:rPr>
          <w:rFonts w:ascii="Times New Roman" w:hAnsi="Times New Roman"/>
          <w:bCs/>
        </w:rPr>
        <w:t>setembro</w:t>
      </w:r>
      <w:r w:rsidRPr="000001E6">
        <w:rPr>
          <w:rFonts w:ascii="Times New Roman" w:hAnsi="Times New Roman"/>
          <w:bCs/>
        </w:rPr>
        <w:t xml:space="preserve"> de 20</w:t>
      </w:r>
      <w:r w:rsidR="00CF130A" w:rsidRPr="000001E6">
        <w:rPr>
          <w:rFonts w:ascii="Times New Roman" w:hAnsi="Times New Roman"/>
          <w:bCs/>
        </w:rPr>
        <w:t>20</w:t>
      </w:r>
      <w:r w:rsidRPr="000001E6">
        <w:rPr>
          <w:rFonts w:ascii="Times New Roman" w:hAnsi="Times New Roman"/>
          <w:bCs/>
        </w:rPr>
        <w:t>, passou a atuar n</w:t>
      </w:r>
      <w:r w:rsidR="00CF130A" w:rsidRPr="000001E6">
        <w:rPr>
          <w:rFonts w:ascii="Times New Roman" w:hAnsi="Times New Roman"/>
          <w:shd w:val="clear" w:color="auto" w:fill="FFFFFF"/>
        </w:rPr>
        <w:t xml:space="preserve">as bacias hidrográficas dos rios São Francisco, Parnaíba, Itapecuru, Mearim, Vaza-Barris, Paraíba, Mundaú, </w:t>
      </w:r>
      <w:proofErr w:type="spellStart"/>
      <w:r w:rsidR="00CF130A" w:rsidRPr="000001E6">
        <w:rPr>
          <w:rFonts w:ascii="Times New Roman" w:hAnsi="Times New Roman"/>
          <w:shd w:val="clear" w:color="auto" w:fill="FFFFFF"/>
        </w:rPr>
        <w:t>Jequiá</w:t>
      </w:r>
      <w:proofErr w:type="spellEnd"/>
      <w:r w:rsidR="00CF130A" w:rsidRPr="000001E6">
        <w:rPr>
          <w:rFonts w:ascii="Times New Roman" w:hAnsi="Times New Roman"/>
          <w:shd w:val="clear" w:color="auto" w:fill="FFFFFF"/>
        </w:rPr>
        <w:t xml:space="preserve">, Tocantins, </w:t>
      </w:r>
      <w:proofErr w:type="spellStart"/>
      <w:r w:rsidR="00CF130A" w:rsidRPr="000001E6">
        <w:rPr>
          <w:rFonts w:ascii="Times New Roman" w:hAnsi="Times New Roman"/>
          <w:shd w:val="clear" w:color="auto" w:fill="FFFFFF"/>
        </w:rPr>
        <w:t>Munim</w:t>
      </w:r>
      <w:proofErr w:type="spellEnd"/>
      <w:r w:rsidR="00CF130A" w:rsidRPr="000001E6">
        <w:rPr>
          <w:rFonts w:ascii="Times New Roman" w:hAnsi="Times New Roman"/>
          <w:shd w:val="clear" w:color="auto" w:fill="FFFFFF"/>
        </w:rPr>
        <w:t xml:space="preserve">, </w:t>
      </w:r>
      <w:proofErr w:type="spellStart"/>
      <w:r w:rsidR="00CF130A" w:rsidRPr="000001E6">
        <w:rPr>
          <w:rFonts w:ascii="Times New Roman" w:hAnsi="Times New Roman"/>
          <w:shd w:val="clear" w:color="auto" w:fill="FFFFFF"/>
        </w:rPr>
        <w:t>Gurupi</w:t>
      </w:r>
      <w:proofErr w:type="spellEnd"/>
      <w:r w:rsidR="00CF130A" w:rsidRPr="000001E6">
        <w:rPr>
          <w:rFonts w:ascii="Times New Roman" w:hAnsi="Times New Roman"/>
          <w:shd w:val="clear" w:color="auto" w:fill="FFFFFF"/>
        </w:rPr>
        <w:t xml:space="preserve">, </w:t>
      </w:r>
      <w:proofErr w:type="spellStart"/>
      <w:r w:rsidR="00CF130A" w:rsidRPr="000001E6">
        <w:rPr>
          <w:rFonts w:ascii="Times New Roman" w:hAnsi="Times New Roman"/>
          <w:shd w:val="clear" w:color="auto" w:fill="FFFFFF"/>
        </w:rPr>
        <w:t>Turiaçu</w:t>
      </w:r>
      <w:proofErr w:type="spellEnd"/>
      <w:r w:rsidR="00CF130A" w:rsidRPr="000001E6">
        <w:rPr>
          <w:rFonts w:ascii="Times New Roman" w:hAnsi="Times New Roman"/>
          <w:shd w:val="clear" w:color="auto" w:fill="FFFFFF"/>
        </w:rPr>
        <w:t xml:space="preserve">, </w:t>
      </w:r>
      <w:proofErr w:type="spellStart"/>
      <w:r w:rsidR="00CF130A" w:rsidRPr="000001E6">
        <w:rPr>
          <w:rFonts w:ascii="Times New Roman" w:hAnsi="Times New Roman"/>
          <w:shd w:val="clear" w:color="auto" w:fill="FFFFFF"/>
        </w:rPr>
        <w:t>Pericumã</w:t>
      </w:r>
      <w:proofErr w:type="spellEnd"/>
      <w:r w:rsidR="00CF130A" w:rsidRPr="000001E6">
        <w:rPr>
          <w:rFonts w:ascii="Times New Roman" w:hAnsi="Times New Roman"/>
          <w:shd w:val="clear" w:color="auto" w:fill="FFFFFF"/>
        </w:rPr>
        <w:t xml:space="preserve">, Una, Real, </w:t>
      </w:r>
      <w:proofErr w:type="spellStart"/>
      <w:r w:rsidR="00CF130A" w:rsidRPr="000001E6">
        <w:rPr>
          <w:rFonts w:ascii="Times New Roman" w:hAnsi="Times New Roman"/>
          <w:shd w:val="clear" w:color="auto" w:fill="FFFFFF"/>
        </w:rPr>
        <w:t>Itapicuru</w:t>
      </w:r>
      <w:proofErr w:type="spellEnd"/>
      <w:r w:rsidR="00CF130A" w:rsidRPr="000001E6">
        <w:rPr>
          <w:rFonts w:ascii="Times New Roman" w:hAnsi="Times New Roman"/>
          <w:shd w:val="clear" w:color="auto" w:fill="FFFFFF"/>
        </w:rPr>
        <w:t>, Paraguaçu, Araguari (AP), Araguari (MG), Jequitinhonha, Mucuri e Pardo, nos Estados de Alagoas, do Amapá, da Bahia, do Ceará, de Goiás, do Maranhão, de Mato Grosso, de Minas Gerais, do Pará, de Pernambuco, do Piauí, de Sergipe e do Tocantins e no Distrito Federal, bem como nas demais bacias hidrográficas e litorâneas dos Estados de Alagoas, do Amapá, da Bahia, do Ceará, de Goiás, do Maranhão, da Paraíba, de Pernambuco, do Piauí, do Rio Grande do Norte e de Sergipe.</w:t>
      </w:r>
      <w:r w:rsidR="000E60DF" w:rsidRPr="000001E6">
        <w:rPr>
          <w:rFonts w:ascii="Times New Roman" w:hAnsi="Times New Roman"/>
          <w:shd w:val="clear" w:color="auto" w:fill="FFFFFF"/>
        </w:rPr>
        <w:t xml:space="preserve"> Com a ampliação, a Companhia passou a atuar em 2.681 municípios, localizados no Distrito Federal e em 15 estados: Alagoas, Amapá, Bahia, Ceará, Goiás, Maranhão, Minas Gerais, Mato Grosso, Pará, Paraíba, Pernambuco, Piauí, Rio Grande do Norte, Sergipe e Tocantins. Assim, a área de atuação atual equivale a 36,59% do território n</w:t>
      </w:r>
      <w:r w:rsidR="00950DCE" w:rsidRPr="000001E6">
        <w:rPr>
          <w:rFonts w:ascii="Times New Roman" w:hAnsi="Times New Roman"/>
          <w:shd w:val="clear" w:color="auto" w:fill="FFFFFF"/>
        </w:rPr>
        <w:t>acional, conforme observado na F</w:t>
      </w:r>
      <w:r w:rsidR="000E60DF" w:rsidRPr="000001E6">
        <w:rPr>
          <w:rFonts w:ascii="Times New Roman" w:hAnsi="Times New Roman"/>
          <w:shd w:val="clear" w:color="auto" w:fill="FFFFFF"/>
        </w:rPr>
        <w:t xml:space="preserve">igura </w:t>
      </w:r>
      <w:r w:rsidR="00950DCE" w:rsidRPr="000001E6">
        <w:rPr>
          <w:rFonts w:ascii="Times New Roman" w:hAnsi="Times New Roman"/>
          <w:shd w:val="clear" w:color="auto" w:fill="FFFFFF"/>
        </w:rPr>
        <w:t xml:space="preserve">01 </w:t>
      </w:r>
      <w:r w:rsidR="000E60DF" w:rsidRPr="000001E6">
        <w:rPr>
          <w:rFonts w:ascii="Times New Roman" w:hAnsi="Times New Roman"/>
          <w:shd w:val="clear" w:color="auto" w:fill="FFFFFF"/>
        </w:rPr>
        <w:t>a seguir.</w:t>
      </w:r>
    </w:p>
    <w:p w:rsidR="000E60DF" w:rsidRDefault="000E60DF" w:rsidP="00D04550">
      <w:pPr>
        <w:rPr>
          <w:rFonts w:ascii="Times New Roman" w:hAnsi="Times New Roman"/>
          <w:shd w:val="clear" w:color="auto" w:fill="FFFFFF"/>
        </w:rPr>
      </w:pPr>
    </w:p>
    <w:p w:rsidR="000001E6" w:rsidRPr="000001E6" w:rsidRDefault="000001E6" w:rsidP="00D04550">
      <w:pPr>
        <w:rPr>
          <w:rFonts w:ascii="Times New Roman" w:hAnsi="Times New Roman"/>
          <w:shd w:val="clear" w:color="auto" w:fill="FFFFFF"/>
        </w:rPr>
      </w:pPr>
    </w:p>
    <w:tbl>
      <w:tblPr>
        <w:tblStyle w:val="Tabelacomgrade"/>
        <w:tblW w:w="0" w:type="auto"/>
        <w:tblLook w:val="04A0"/>
      </w:tblPr>
      <w:tblGrid>
        <w:gridCol w:w="3546"/>
        <w:gridCol w:w="5702"/>
      </w:tblGrid>
      <w:tr w:rsidR="000E60DF" w:rsidRPr="000001E6" w:rsidTr="000E60DF">
        <w:tc>
          <w:tcPr>
            <w:tcW w:w="3510" w:type="dxa"/>
            <w:vAlign w:val="center"/>
          </w:tcPr>
          <w:p w:rsidR="000E60DF" w:rsidRPr="000001E6" w:rsidRDefault="000E60DF" w:rsidP="000E60DF">
            <w:pPr>
              <w:jc w:val="center"/>
              <w:rPr>
                <w:rFonts w:ascii="Times New Roman" w:hAnsi="Times New Roman"/>
                <w:shd w:val="clear" w:color="auto" w:fill="FFFFFF"/>
              </w:rPr>
            </w:pPr>
            <w:r w:rsidRPr="000001E6">
              <w:rPr>
                <w:noProof/>
              </w:rPr>
              <w:drawing>
                <wp:inline distT="0" distB="0" distL="0" distR="0">
                  <wp:extent cx="2088021" cy="2880000"/>
                  <wp:effectExtent l="19050" t="0" r="7479" b="0"/>
                  <wp:docPr id="3" name="Imagem 3" descr="Unidades Federativas L14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dades Federativas L14053"/>
                          <pic:cNvPicPr>
                            <a:picLocks noChangeAspect="1" noChangeArrowheads="1"/>
                          </pic:cNvPicPr>
                        </pic:nvPicPr>
                        <pic:blipFill>
                          <a:blip r:embed="rId8" cstate="print"/>
                          <a:srcRect/>
                          <a:stretch>
                            <a:fillRect/>
                          </a:stretch>
                        </pic:blipFill>
                        <pic:spPr bwMode="auto">
                          <a:xfrm>
                            <a:off x="0" y="0"/>
                            <a:ext cx="2088021" cy="2880000"/>
                          </a:xfrm>
                          <a:prstGeom prst="rect">
                            <a:avLst/>
                          </a:prstGeom>
                          <a:noFill/>
                          <a:ln w="9525">
                            <a:noFill/>
                            <a:miter lim="800000"/>
                            <a:headEnd/>
                            <a:tailEnd/>
                          </a:ln>
                        </pic:spPr>
                      </pic:pic>
                    </a:graphicData>
                  </a:graphic>
                </wp:inline>
              </w:drawing>
            </w:r>
          </w:p>
        </w:tc>
        <w:tc>
          <w:tcPr>
            <w:tcW w:w="5702" w:type="dxa"/>
            <w:vAlign w:val="center"/>
          </w:tcPr>
          <w:p w:rsidR="000E60DF" w:rsidRPr="000001E6" w:rsidRDefault="000E60DF" w:rsidP="007B7BD6">
            <w:pPr>
              <w:rPr>
                <w:rFonts w:ascii="Times New Roman" w:hAnsi="Times New Roman"/>
                <w:sz w:val="20"/>
                <w:szCs w:val="20"/>
                <w:shd w:val="clear" w:color="auto" w:fill="FFFFFF"/>
              </w:rPr>
            </w:pPr>
            <w:r w:rsidRPr="000001E6">
              <w:rPr>
                <w:rFonts w:ascii="Times New Roman" w:hAnsi="Times New Roman"/>
                <w:b/>
                <w:sz w:val="20"/>
                <w:szCs w:val="20"/>
                <w:shd w:val="clear" w:color="auto" w:fill="FFFFFF"/>
              </w:rPr>
              <w:t>Figura 01:</w:t>
            </w:r>
            <w:r w:rsidRPr="000001E6">
              <w:rPr>
                <w:rFonts w:ascii="Times New Roman" w:hAnsi="Times New Roman"/>
                <w:sz w:val="20"/>
                <w:szCs w:val="20"/>
                <w:shd w:val="clear" w:color="auto" w:fill="FFFFFF"/>
              </w:rPr>
              <w:t xml:space="preserve"> área de atuação da </w:t>
            </w:r>
            <w:r w:rsidR="007B7BD6" w:rsidRPr="000001E6">
              <w:rPr>
                <w:rFonts w:ascii="Times New Roman" w:hAnsi="Times New Roman"/>
                <w:sz w:val="20"/>
                <w:szCs w:val="20"/>
                <w:shd w:val="clear" w:color="auto" w:fill="FFFFFF"/>
              </w:rPr>
              <w:t>Codevasf</w:t>
            </w:r>
            <w:r w:rsidRPr="000001E6">
              <w:rPr>
                <w:rFonts w:ascii="Times New Roman" w:hAnsi="Times New Roman"/>
                <w:sz w:val="20"/>
                <w:szCs w:val="20"/>
                <w:shd w:val="clear" w:color="auto" w:fill="FFFFFF"/>
              </w:rPr>
              <w:t xml:space="preserve"> no Território Brasileiro, conforme a Lei </w:t>
            </w:r>
            <w:r w:rsidR="005A4DC0" w:rsidRPr="000001E6">
              <w:rPr>
                <w:rFonts w:ascii="Times New Roman" w:hAnsi="Times New Roman"/>
                <w:sz w:val="20"/>
                <w:szCs w:val="20"/>
                <w:shd w:val="clear" w:color="auto" w:fill="FFFFFF"/>
              </w:rPr>
              <w:t xml:space="preserve">Federal </w:t>
            </w:r>
            <w:r w:rsidRPr="000001E6">
              <w:rPr>
                <w:rFonts w:ascii="Times New Roman" w:hAnsi="Times New Roman"/>
                <w:sz w:val="20"/>
                <w:szCs w:val="20"/>
                <w:shd w:val="clear" w:color="auto" w:fill="FFFFFF"/>
              </w:rPr>
              <w:t>nº 14.053/2020 (</w:t>
            </w:r>
            <w:r w:rsidR="007B7BD6" w:rsidRPr="000001E6">
              <w:rPr>
                <w:rFonts w:ascii="Times New Roman" w:hAnsi="Times New Roman"/>
                <w:sz w:val="20"/>
                <w:szCs w:val="20"/>
                <w:shd w:val="clear" w:color="auto" w:fill="FFFFFF"/>
              </w:rPr>
              <w:t>Codevasf</w:t>
            </w:r>
            <w:r w:rsidR="005D26BD" w:rsidRPr="000001E6">
              <w:rPr>
                <w:rFonts w:ascii="Times New Roman" w:hAnsi="Times New Roman"/>
                <w:sz w:val="20"/>
                <w:szCs w:val="20"/>
                <w:shd w:val="clear" w:color="auto" w:fill="FFFFFF"/>
              </w:rPr>
              <w:t>–AE/GPE/USG, 2020).</w:t>
            </w:r>
          </w:p>
        </w:tc>
      </w:tr>
    </w:tbl>
    <w:p w:rsidR="00950DCE" w:rsidRDefault="00950DCE" w:rsidP="00D04550">
      <w:pPr>
        <w:rPr>
          <w:rFonts w:ascii="Times New Roman" w:hAnsi="Times New Roman"/>
          <w:b/>
          <w:sz w:val="20"/>
          <w:szCs w:val="20"/>
          <w:shd w:val="clear" w:color="auto" w:fill="FFFFFF"/>
        </w:rPr>
      </w:pPr>
    </w:p>
    <w:p w:rsidR="000001E6" w:rsidRPr="000001E6" w:rsidRDefault="000001E6" w:rsidP="00D04550">
      <w:pPr>
        <w:rPr>
          <w:rFonts w:ascii="Times New Roman" w:hAnsi="Times New Roman"/>
          <w:b/>
          <w:sz w:val="20"/>
          <w:szCs w:val="20"/>
          <w:shd w:val="clear" w:color="auto" w:fill="FFFFFF"/>
        </w:rPr>
      </w:pPr>
    </w:p>
    <w:p w:rsidR="00245331" w:rsidRPr="000001E6" w:rsidRDefault="00245331" w:rsidP="00D04550">
      <w:pPr>
        <w:rPr>
          <w:rFonts w:ascii="Times New Roman" w:hAnsi="Times New Roman"/>
          <w:sz w:val="20"/>
          <w:szCs w:val="20"/>
          <w:shd w:val="clear" w:color="auto" w:fill="FFFFFF"/>
        </w:rPr>
      </w:pPr>
      <w:r w:rsidRPr="000001E6">
        <w:rPr>
          <w:rFonts w:ascii="Times New Roman" w:hAnsi="Times New Roman"/>
          <w:b/>
          <w:sz w:val="20"/>
          <w:szCs w:val="20"/>
          <w:shd w:val="clear" w:color="auto" w:fill="FFFFFF"/>
        </w:rPr>
        <w:lastRenderedPageBreak/>
        <w:t>Quadro 01:</w:t>
      </w:r>
      <w:r w:rsidRPr="000001E6">
        <w:rPr>
          <w:rFonts w:ascii="Times New Roman" w:hAnsi="Times New Roman"/>
          <w:sz w:val="20"/>
          <w:szCs w:val="20"/>
          <w:shd w:val="clear" w:color="auto" w:fill="FFFFFF"/>
        </w:rPr>
        <w:t xml:space="preserve"> quantitativos de municípios da área de jurisdição da </w:t>
      </w:r>
      <w:r w:rsidR="007B7BD6" w:rsidRPr="000001E6">
        <w:rPr>
          <w:rFonts w:ascii="Times New Roman" w:hAnsi="Times New Roman"/>
          <w:sz w:val="20"/>
          <w:szCs w:val="20"/>
          <w:shd w:val="clear" w:color="auto" w:fill="FFFFFF"/>
        </w:rPr>
        <w:t>Codevasf</w:t>
      </w:r>
      <w:r w:rsidRPr="000001E6">
        <w:rPr>
          <w:rFonts w:ascii="Times New Roman" w:hAnsi="Times New Roman"/>
          <w:sz w:val="20"/>
          <w:szCs w:val="20"/>
          <w:shd w:val="clear" w:color="auto" w:fill="FFFFFF"/>
        </w:rPr>
        <w:t xml:space="preserve"> antes e após a vigência da Lei </w:t>
      </w:r>
      <w:r w:rsidR="005A4DC0" w:rsidRPr="000001E6">
        <w:rPr>
          <w:rFonts w:ascii="Times New Roman" w:hAnsi="Times New Roman"/>
          <w:sz w:val="20"/>
          <w:szCs w:val="20"/>
          <w:shd w:val="clear" w:color="auto" w:fill="FFFFFF"/>
        </w:rPr>
        <w:t xml:space="preserve">Federal </w:t>
      </w:r>
      <w:r w:rsidRPr="000001E6">
        <w:rPr>
          <w:rFonts w:ascii="Times New Roman" w:hAnsi="Times New Roman"/>
          <w:sz w:val="20"/>
          <w:szCs w:val="20"/>
          <w:shd w:val="clear" w:color="auto" w:fill="FFFFFF"/>
        </w:rPr>
        <w:t>nº 14.053/2020:</w:t>
      </w:r>
    </w:p>
    <w:p w:rsidR="002E1077" w:rsidRPr="000001E6" w:rsidRDefault="002E1077" w:rsidP="00D04550">
      <w:pPr>
        <w:rPr>
          <w:rFonts w:ascii="Times New Roman" w:hAnsi="Times New Roman"/>
          <w:sz w:val="20"/>
          <w:szCs w:val="20"/>
          <w:shd w:val="clear" w:color="auto" w:fill="FFFFFF"/>
        </w:rPr>
      </w:pPr>
    </w:p>
    <w:tbl>
      <w:tblPr>
        <w:tblStyle w:val="Tabelacomgrade"/>
        <w:tblW w:w="0" w:type="auto"/>
        <w:tblBorders>
          <w:left w:val="none" w:sz="0" w:space="0" w:color="auto"/>
          <w:right w:val="none" w:sz="0" w:space="0" w:color="auto"/>
          <w:insideV w:val="none" w:sz="0" w:space="0" w:color="auto"/>
        </w:tblBorders>
        <w:tblLook w:val="04A0"/>
      </w:tblPr>
      <w:tblGrid>
        <w:gridCol w:w="2093"/>
        <w:gridCol w:w="2513"/>
        <w:gridCol w:w="2303"/>
        <w:gridCol w:w="2303"/>
      </w:tblGrid>
      <w:tr w:rsidR="00245331" w:rsidRPr="000001E6" w:rsidTr="00245331">
        <w:tc>
          <w:tcPr>
            <w:tcW w:w="2093" w:type="dxa"/>
            <w:vAlign w:val="center"/>
          </w:tcPr>
          <w:p w:rsidR="00245331" w:rsidRPr="000001E6" w:rsidRDefault="00245331" w:rsidP="009B306E">
            <w:pPr>
              <w:spacing w:before="60" w:after="60"/>
              <w:jc w:val="center"/>
              <w:rPr>
                <w:rFonts w:ascii="Times New Roman" w:hAnsi="Times New Roman"/>
                <w:b/>
                <w:sz w:val="20"/>
                <w:szCs w:val="20"/>
                <w:shd w:val="clear" w:color="auto" w:fill="FFFFFF"/>
              </w:rPr>
            </w:pPr>
            <w:r w:rsidRPr="000001E6">
              <w:rPr>
                <w:rFonts w:ascii="Times New Roman" w:hAnsi="Times New Roman"/>
                <w:b/>
                <w:sz w:val="20"/>
                <w:szCs w:val="20"/>
                <w:shd w:val="clear" w:color="auto" w:fill="FFFFFF"/>
              </w:rPr>
              <w:t>Unidade da Federação</w:t>
            </w:r>
          </w:p>
        </w:tc>
        <w:tc>
          <w:tcPr>
            <w:tcW w:w="2513" w:type="dxa"/>
            <w:vAlign w:val="center"/>
          </w:tcPr>
          <w:p w:rsidR="00245331" w:rsidRPr="000001E6" w:rsidRDefault="00245331" w:rsidP="009B306E">
            <w:pPr>
              <w:spacing w:before="60" w:after="60"/>
              <w:jc w:val="center"/>
              <w:rPr>
                <w:rFonts w:ascii="Times New Roman" w:hAnsi="Times New Roman"/>
                <w:b/>
                <w:sz w:val="20"/>
                <w:szCs w:val="20"/>
                <w:shd w:val="clear" w:color="auto" w:fill="FFFFFF"/>
              </w:rPr>
            </w:pPr>
            <w:r w:rsidRPr="000001E6">
              <w:rPr>
                <w:rFonts w:ascii="Times New Roman" w:hAnsi="Times New Roman"/>
                <w:b/>
                <w:sz w:val="20"/>
                <w:szCs w:val="20"/>
                <w:shd w:val="clear" w:color="auto" w:fill="FFFFFF"/>
              </w:rPr>
              <w:t>Nº de Municípios antes da nova ampliação</w:t>
            </w:r>
          </w:p>
        </w:tc>
        <w:tc>
          <w:tcPr>
            <w:tcW w:w="2303" w:type="dxa"/>
            <w:vAlign w:val="center"/>
          </w:tcPr>
          <w:p w:rsidR="00245331" w:rsidRPr="000001E6" w:rsidRDefault="00245331" w:rsidP="009B306E">
            <w:pPr>
              <w:spacing w:before="60" w:after="60"/>
              <w:jc w:val="center"/>
              <w:rPr>
                <w:rFonts w:ascii="Times New Roman" w:hAnsi="Times New Roman"/>
                <w:b/>
                <w:sz w:val="20"/>
                <w:szCs w:val="20"/>
                <w:shd w:val="clear" w:color="auto" w:fill="FFFFFF"/>
              </w:rPr>
            </w:pPr>
            <w:r w:rsidRPr="000001E6">
              <w:rPr>
                <w:rFonts w:ascii="Times New Roman" w:hAnsi="Times New Roman"/>
                <w:b/>
                <w:sz w:val="20"/>
                <w:szCs w:val="20"/>
                <w:shd w:val="clear" w:color="auto" w:fill="FFFFFF"/>
              </w:rPr>
              <w:t>Nº de Municípios após a nova ampliação</w:t>
            </w:r>
          </w:p>
        </w:tc>
        <w:tc>
          <w:tcPr>
            <w:tcW w:w="2303" w:type="dxa"/>
            <w:vAlign w:val="center"/>
          </w:tcPr>
          <w:p w:rsidR="00245331" w:rsidRPr="000001E6" w:rsidRDefault="00245331" w:rsidP="009B306E">
            <w:pPr>
              <w:spacing w:before="60" w:after="60"/>
              <w:jc w:val="center"/>
              <w:rPr>
                <w:rFonts w:ascii="Times New Roman" w:hAnsi="Times New Roman"/>
                <w:b/>
                <w:sz w:val="20"/>
                <w:szCs w:val="20"/>
                <w:shd w:val="clear" w:color="auto" w:fill="FFFFFF"/>
              </w:rPr>
            </w:pPr>
            <w:r w:rsidRPr="000001E6">
              <w:rPr>
                <w:rFonts w:ascii="Times New Roman" w:hAnsi="Times New Roman"/>
                <w:b/>
                <w:sz w:val="20"/>
                <w:szCs w:val="20"/>
                <w:shd w:val="clear" w:color="auto" w:fill="FFFFFF"/>
              </w:rPr>
              <w:t>População estimada (IBGE, 2019)</w:t>
            </w:r>
          </w:p>
        </w:tc>
      </w:tr>
      <w:tr w:rsidR="00245331" w:rsidRPr="000001E6" w:rsidTr="00245331">
        <w:tc>
          <w:tcPr>
            <w:tcW w:w="209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Alagoas</w:t>
            </w:r>
          </w:p>
        </w:tc>
        <w:tc>
          <w:tcPr>
            <w:tcW w:w="251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102</w:t>
            </w:r>
          </w:p>
        </w:tc>
        <w:tc>
          <w:tcPr>
            <w:tcW w:w="230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102</w:t>
            </w:r>
          </w:p>
        </w:tc>
        <w:tc>
          <w:tcPr>
            <w:tcW w:w="2303" w:type="dxa"/>
            <w:vAlign w:val="center"/>
          </w:tcPr>
          <w:p w:rsidR="00245331" w:rsidRPr="000001E6" w:rsidRDefault="00245331"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3.337.357</w:t>
            </w:r>
          </w:p>
        </w:tc>
      </w:tr>
      <w:tr w:rsidR="00245331" w:rsidRPr="000001E6" w:rsidTr="00245331">
        <w:tc>
          <w:tcPr>
            <w:tcW w:w="209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Amapá</w:t>
            </w:r>
          </w:p>
        </w:tc>
        <w:tc>
          <w:tcPr>
            <w:tcW w:w="251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w:t>
            </w:r>
          </w:p>
        </w:tc>
        <w:tc>
          <w:tcPr>
            <w:tcW w:w="230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16</w:t>
            </w:r>
          </w:p>
        </w:tc>
        <w:tc>
          <w:tcPr>
            <w:tcW w:w="2303" w:type="dxa"/>
            <w:vAlign w:val="center"/>
          </w:tcPr>
          <w:p w:rsidR="00245331" w:rsidRPr="000001E6" w:rsidRDefault="00245331"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845.731</w:t>
            </w:r>
          </w:p>
        </w:tc>
      </w:tr>
      <w:tr w:rsidR="00245331" w:rsidRPr="000001E6" w:rsidTr="00245331">
        <w:tc>
          <w:tcPr>
            <w:tcW w:w="209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Bahia</w:t>
            </w:r>
          </w:p>
        </w:tc>
        <w:tc>
          <w:tcPr>
            <w:tcW w:w="251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235</w:t>
            </w:r>
          </w:p>
        </w:tc>
        <w:tc>
          <w:tcPr>
            <w:tcW w:w="230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417</w:t>
            </w:r>
          </w:p>
        </w:tc>
        <w:tc>
          <w:tcPr>
            <w:tcW w:w="2303" w:type="dxa"/>
            <w:vAlign w:val="center"/>
          </w:tcPr>
          <w:p w:rsidR="00245331" w:rsidRPr="000001E6" w:rsidRDefault="00245331"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14.873.064</w:t>
            </w:r>
          </w:p>
        </w:tc>
      </w:tr>
      <w:tr w:rsidR="00245331" w:rsidRPr="000001E6" w:rsidTr="00245331">
        <w:tc>
          <w:tcPr>
            <w:tcW w:w="209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Ceará</w:t>
            </w:r>
          </w:p>
        </w:tc>
        <w:tc>
          <w:tcPr>
            <w:tcW w:w="251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21</w:t>
            </w:r>
          </w:p>
        </w:tc>
        <w:tc>
          <w:tcPr>
            <w:tcW w:w="2303" w:type="dxa"/>
            <w:vAlign w:val="center"/>
          </w:tcPr>
          <w:p w:rsidR="00245331" w:rsidRPr="000001E6" w:rsidRDefault="00245331"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184</w:t>
            </w:r>
          </w:p>
        </w:tc>
        <w:tc>
          <w:tcPr>
            <w:tcW w:w="2303" w:type="dxa"/>
            <w:vAlign w:val="center"/>
          </w:tcPr>
          <w:p w:rsidR="00245331" w:rsidRPr="000001E6" w:rsidRDefault="00245331"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9.132.078</w:t>
            </w:r>
          </w:p>
        </w:tc>
      </w:tr>
      <w:tr w:rsidR="00245331" w:rsidRPr="000001E6" w:rsidTr="00245331">
        <w:tc>
          <w:tcPr>
            <w:tcW w:w="2093" w:type="dxa"/>
            <w:vAlign w:val="center"/>
          </w:tcPr>
          <w:p w:rsidR="00245331" w:rsidRPr="000001E6" w:rsidRDefault="00114C14"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Distrito Federal</w:t>
            </w:r>
          </w:p>
        </w:tc>
        <w:tc>
          <w:tcPr>
            <w:tcW w:w="2513" w:type="dxa"/>
            <w:vAlign w:val="center"/>
          </w:tcPr>
          <w:p w:rsidR="00245331" w:rsidRPr="000001E6" w:rsidRDefault="00197B2B"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w:t>
            </w:r>
          </w:p>
        </w:tc>
        <w:tc>
          <w:tcPr>
            <w:tcW w:w="2303" w:type="dxa"/>
            <w:vAlign w:val="center"/>
          </w:tcPr>
          <w:p w:rsidR="00245331" w:rsidRPr="000001E6" w:rsidRDefault="00197B2B"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w:t>
            </w:r>
          </w:p>
        </w:tc>
        <w:tc>
          <w:tcPr>
            <w:tcW w:w="2303" w:type="dxa"/>
            <w:vAlign w:val="center"/>
          </w:tcPr>
          <w:p w:rsidR="00245331" w:rsidRPr="000001E6" w:rsidRDefault="00197B2B"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3.015.268</w:t>
            </w:r>
          </w:p>
        </w:tc>
      </w:tr>
      <w:tr w:rsidR="00245331" w:rsidRPr="000001E6" w:rsidTr="00245331">
        <w:tc>
          <w:tcPr>
            <w:tcW w:w="2093" w:type="dxa"/>
            <w:vAlign w:val="center"/>
          </w:tcPr>
          <w:p w:rsidR="00245331" w:rsidRPr="000001E6" w:rsidRDefault="00197B2B"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Goiás</w:t>
            </w:r>
          </w:p>
        </w:tc>
        <w:tc>
          <w:tcPr>
            <w:tcW w:w="2513" w:type="dxa"/>
            <w:vAlign w:val="center"/>
          </w:tcPr>
          <w:p w:rsidR="00245331" w:rsidRPr="000001E6" w:rsidRDefault="00197B2B"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136</w:t>
            </w:r>
          </w:p>
        </w:tc>
        <w:tc>
          <w:tcPr>
            <w:tcW w:w="2303" w:type="dxa"/>
            <w:vAlign w:val="center"/>
          </w:tcPr>
          <w:p w:rsidR="00245331" w:rsidRPr="000001E6" w:rsidRDefault="00197B2B"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246</w:t>
            </w:r>
          </w:p>
        </w:tc>
        <w:tc>
          <w:tcPr>
            <w:tcW w:w="2303" w:type="dxa"/>
            <w:vAlign w:val="center"/>
          </w:tcPr>
          <w:p w:rsidR="00245331" w:rsidRPr="000001E6" w:rsidRDefault="00197B2B"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7.018.354</w:t>
            </w:r>
          </w:p>
        </w:tc>
      </w:tr>
      <w:tr w:rsidR="00245331" w:rsidRPr="000001E6" w:rsidTr="00245331">
        <w:tc>
          <w:tcPr>
            <w:tcW w:w="209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Maranhão</w:t>
            </w:r>
          </w:p>
        </w:tc>
        <w:tc>
          <w:tcPr>
            <w:tcW w:w="251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217</w:t>
            </w:r>
          </w:p>
        </w:tc>
        <w:tc>
          <w:tcPr>
            <w:tcW w:w="230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217</w:t>
            </w:r>
          </w:p>
        </w:tc>
        <w:tc>
          <w:tcPr>
            <w:tcW w:w="2303" w:type="dxa"/>
            <w:vAlign w:val="center"/>
          </w:tcPr>
          <w:p w:rsidR="00245331" w:rsidRPr="000001E6" w:rsidRDefault="005E3AFD"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7.075.181</w:t>
            </w:r>
          </w:p>
        </w:tc>
      </w:tr>
      <w:tr w:rsidR="00245331" w:rsidRPr="000001E6" w:rsidTr="00245331">
        <w:tc>
          <w:tcPr>
            <w:tcW w:w="209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Minas Gerais</w:t>
            </w:r>
          </w:p>
        </w:tc>
        <w:tc>
          <w:tcPr>
            <w:tcW w:w="251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240</w:t>
            </w:r>
          </w:p>
        </w:tc>
        <w:tc>
          <w:tcPr>
            <w:tcW w:w="230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349</w:t>
            </w:r>
          </w:p>
        </w:tc>
        <w:tc>
          <w:tcPr>
            <w:tcW w:w="2303" w:type="dxa"/>
            <w:vAlign w:val="center"/>
          </w:tcPr>
          <w:p w:rsidR="00245331" w:rsidRPr="000001E6" w:rsidRDefault="005E3AFD"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12.747.527</w:t>
            </w:r>
          </w:p>
        </w:tc>
      </w:tr>
      <w:tr w:rsidR="00245331" w:rsidRPr="000001E6" w:rsidTr="00245331">
        <w:tc>
          <w:tcPr>
            <w:tcW w:w="209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Mato Grosso</w:t>
            </w:r>
          </w:p>
        </w:tc>
        <w:tc>
          <w:tcPr>
            <w:tcW w:w="251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38</w:t>
            </w:r>
          </w:p>
        </w:tc>
        <w:tc>
          <w:tcPr>
            <w:tcW w:w="230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38</w:t>
            </w:r>
          </w:p>
        </w:tc>
        <w:tc>
          <w:tcPr>
            <w:tcW w:w="2303" w:type="dxa"/>
            <w:vAlign w:val="center"/>
          </w:tcPr>
          <w:p w:rsidR="00245331" w:rsidRPr="000001E6" w:rsidRDefault="005E3AFD"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532.723</w:t>
            </w:r>
          </w:p>
        </w:tc>
      </w:tr>
      <w:tr w:rsidR="00245331" w:rsidRPr="000001E6" w:rsidTr="00245331">
        <w:tc>
          <w:tcPr>
            <w:tcW w:w="209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Pará</w:t>
            </w:r>
          </w:p>
        </w:tc>
        <w:tc>
          <w:tcPr>
            <w:tcW w:w="251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98</w:t>
            </w:r>
          </w:p>
        </w:tc>
        <w:tc>
          <w:tcPr>
            <w:tcW w:w="230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98</w:t>
            </w:r>
          </w:p>
        </w:tc>
        <w:tc>
          <w:tcPr>
            <w:tcW w:w="2303" w:type="dxa"/>
            <w:vAlign w:val="center"/>
          </w:tcPr>
          <w:p w:rsidR="00245331" w:rsidRPr="000001E6" w:rsidRDefault="005E3AFD"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6.729.386</w:t>
            </w:r>
          </w:p>
        </w:tc>
      </w:tr>
      <w:tr w:rsidR="00245331" w:rsidRPr="000001E6" w:rsidTr="00245331">
        <w:tc>
          <w:tcPr>
            <w:tcW w:w="209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Paraíba</w:t>
            </w:r>
          </w:p>
        </w:tc>
        <w:tc>
          <w:tcPr>
            <w:tcW w:w="251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w:t>
            </w:r>
          </w:p>
        </w:tc>
        <w:tc>
          <w:tcPr>
            <w:tcW w:w="230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223</w:t>
            </w:r>
          </w:p>
        </w:tc>
        <w:tc>
          <w:tcPr>
            <w:tcW w:w="2303" w:type="dxa"/>
            <w:vAlign w:val="center"/>
          </w:tcPr>
          <w:p w:rsidR="00245331" w:rsidRPr="000001E6" w:rsidRDefault="005E3AFD"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4.018.127</w:t>
            </w:r>
          </w:p>
        </w:tc>
      </w:tr>
      <w:tr w:rsidR="00245331" w:rsidRPr="000001E6" w:rsidTr="00245331">
        <w:tc>
          <w:tcPr>
            <w:tcW w:w="209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Pernambuco</w:t>
            </w:r>
          </w:p>
        </w:tc>
        <w:tc>
          <w:tcPr>
            <w:tcW w:w="251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116</w:t>
            </w:r>
          </w:p>
        </w:tc>
        <w:tc>
          <w:tcPr>
            <w:tcW w:w="230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185</w:t>
            </w:r>
          </w:p>
        </w:tc>
        <w:tc>
          <w:tcPr>
            <w:tcW w:w="2303" w:type="dxa"/>
            <w:vAlign w:val="center"/>
          </w:tcPr>
          <w:p w:rsidR="00245331" w:rsidRPr="000001E6" w:rsidRDefault="005E3AFD"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9.557.071</w:t>
            </w:r>
          </w:p>
        </w:tc>
      </w:tr>
      <w:tr w:rsidR="00245331" w:rsidRPr="000001E6" w:rsidTr="00245331">
        <w:tc>
          <w:tcPr>
            <w:tcW w:w="209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Piauí</w:t>
            </w:r>
          </w:p>
        </w:tc>
        <w:tc>
          <w:tcPr>
            <w:tcW w:w="251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223</w:t>
            </w:r>
          </w:p>
        </w:tc>
        <w:tc>
          <w:tcPr>
            <w:tcW w:w="230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224</w:t>
            </w:r>
          </w:p>
        </w:tc>
        <w:tc>
          <w:tcPr>
            <w:tcW w:w="2303" w:type="dxa"/>
            <w:vAlign w:val="center"/>
          </w:tcPr>
          <w:p w:rsidR="00245331" w:rsidRPr="000001E6" w:rsidRDefault="005E3AFD"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3.273.227</w:t>
            </w:r>
          </w:p>
        </w:tc>
      </w:tr>
      <w:tr w:rsidR="00245331" w:rsidRPr="000001E6" w:rsidTr="00245331">
        <w:tc>
          <w:tcPr>
            <w:tcW w:w="209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Rio Grande do Norte</w:t>
            </w:r>
          </w:p>
        </w:tc>
        <w:tc>
          <w:tcPr>
            <w:tcW w:w="251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w:t>
            </w:r>
          </w:p>
        </w:tc>
        <w:tc>
          <w:tcPr>
            <w:tcW w:w="230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167</w:t>
            </w:r>
          </w:p>
        </w:tc>
        <w:tc>
          <w:tcPr>
            <w:tcW w:w="2303" w:type="dxa"/>
            <w:vAlign w:val="center"/>
          </w:tcPr>
          <w:p w:rsidR="00245331" w:rsidRPr="000001E6" w:rsidRDefault="005E3AFD"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3.506.853</w:t>
            </w:r>
          </w:p>
        </w:tc>
      </w:tr>
      <w:tr w:rsidR="00245331" w:rsidRPr="000001E6" w:rsidTr="00245331">
        <w:tc>
          <w:tcPr>
            <w:tcW w:w="209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Sergipe</w:t>
            </w:r>
          </w:p>
        </w:tc>
        <w:tc>
          <w:tcPr>
            <w:tcW w:w="251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75</w:t>
            </w:r>
          </w:p>
        </w:tc>
        <w:tc>
          <w:tcPr>
            <w:tcW w:w="230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75</w:t>
            </w:r>
          </w:p>
        </w:tc>
        <w:tc>
          <w:tcPr>
            <w:tcW w:w="2303" w:type="dxa"/>
            <w:vAlign w:val="center"/>
          </w:tcPr>
          <w:p w:rsidR="00245331" w:rsidRPr="000001E6" w:rsidRDefault="005E3AFD"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2.298.696</w:t>
            </w:r>
          </w:p>
        </w:tc>
      </w:tr>
      <w:tr w:rsidR="00245331" w:rsidRPr="000001E6" w:rsidTr="00245331">
        <w:tc>
          <w:tcPr>
            <w:tcW w:w="209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Tocantins</w:t>
            </w:r>
          </w:p>
        </w:tc>
        <w:tc>
          <w:tcPr>
            <w:tcW w:w="251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139</w:t>
            </w:r>
          </w:p>
        </w:tc>
        <w:tc>
          <w:tcPr>
            <w:tcW w:w="2303" w:type="dxa"/>
            <w:vAlign w:val="center"/>
          </w:tcPr>
          <w:p w:rsidR="00245331" w:rsidRPr="000001E6" w:rsidRDefault="005E3AFD" w:rsidP="009B306E">
            <w:pPr>
              <w:spacing w:before="60" w:after="60"/>
              <w:jc w:val="center"/>
              <w:rPr>
                <w:rFonts w:ascii="Times New Roman" w:hAnsi="Times New Roman"/>
                <w:sz w:val="20"/>
                <w:szCs w:val="20"/>
                <w:shd w:val="clear" w:color="auto" w:fill="FFFFFF"/>
              </w:rPr>
            </w:pPr>
            <w:r w:rsidRPr="000001E6">
              <w:rPr>
                <w:rFonts w:ascii="Times New Roman" w:hAnsi="Times New Roman"/>
                <w:sz w:val="20"/>
                <w:szCs w:val="20"/>
                <w:shd w:val="clear" w:color="auto" w:fill="FFFFFF"/>
              </w:rPr>
              <w:t>139</w:t>
            </w:r>
          </w:p>
        </w:tc>
        <w:tc>
          <w:tcPr>
            <w:tcW w:w="2303" w:type="dxa"/>
            <w:vAlign w:val="center"/>
          </w:tcPr>
          <w:p w:rsidR="00245331" w:rsidRPr="000001E6" w:rsidRDefault="005E3AFD" w:rsidP="009B306E">
            <w:pPr>
              <w:spacing w:before="60" w:after="60"/>
              <w:ind w:right="491"/>
              <w:jc w:val="right"/>
              <w:rPr>
                <w:rFonts w:ascii="Times New Roman" w:hAnsi="Times New Roman"/>
                <w:sz w:val="20"/>
                <w:szCs w:val="20"/>
                <w:shd w:val="clear" w:color="auto" w:fill="FFFFFF"/>
              </w:rPr>
            </w:pPr>
            <w:r w:rsidRPr="000001E6">
              <w:rPr>
                <w:rFonts w:ascii="Times New Roman" w:hAnsi="Times New Roman"/>
                <w:sz w:val="20"/>
                <w:szCs w:val="20"/>
                <w:shd w:val="clear" w:color="auto" w:fill="FFFFFF"/>
              </w:rPr>
              <w:t>1.572.866</w:t>
            </w:r>
          </w:p>
        </w:tc>
      </w:tr>
      <w:tr w:rsidR="00245331" w:rsidRPr="000001E6" w:rsidTr="00245331">
        <w:tc>
          <w:tcPr>
            <w:tcW w:w="2093" w:type="dxa"/>
            <w:vAlign w:val="center"/>
          </w:tcPr>
          <w:p w:rsidR="00245331" w:rsidRPr="000001E6" w:rsidRDefault="005E3AFD" w:rsidP="009B306E">
            <w:pPr>
              <w:spacing w:before="60" w:after="60"/>
              <w:jc w:val="center"/>
              <w:rPr>
                <w:rFonts w:ascii="Times New Roman" w:hAnsi="Times New Roman"/>
                <w:b/>
                <w:sz w:val="20"/>
                <w:szCs w:val="20"/>
                <w:shd w:val="clear" w:color="auto" w:fill="FFFFFF"/>
              </w:rPr>
            </w:pPr>
            <w:r w:rsidRPr="000001E6">
              <w:rPr>
                <w:rFonts w:ascii="Times New Roman" w:hAnsi="Times New Roman"/>
                <w:b/>
                <w:sz w:val="20"/>
                <w:szCs w:val="20"/>
                <w:shd w:val="clear" w:color="auto" w:fill="FFFFFF"/>
              </w:rPr>
              <w:t>Total Geral</w:t>
            </w:r>
          </w:p>
        </w:tc>
        <w:tc>
          <w:tcPr>
            <w:tcW w:w="2513" w:type="dxa"/>
            <w:vAlign w:val="center"/>
          </w:tcPr>
          <w:p w:rsidR="00245331" w:rsidRPr="000001E6" w:rsidRDefault="005E3AFD" w:rsidP="009B306E">
            <w:pPr>
              <w:spacing w:before="60" w:after="60"/>
              <w:jc w:val="center"/>
              <w:rPr>
                <w:rFonts w:ascii="Times New Roman" w:hAnsi="Times New Roman"/>
                <w:b/>
                <w:sz w:val="20"/>
                <w:szCs w:val="20"/>
                <w:shd w:val="clear" w:color="auto" w:fill="FFFFFF"/>
              </w:rPr>
            </w:pPr>
            <w:r w:rsidRPr="000001E6">
              <w:rPr>
                <w:rFonts w:ascii="Times New Roman" w:hAnsi="Times New Roman"/>
                <w:b/>
                <w:sz w:val="20"/>
                <w:szCs w:val="20"/>
                <w:shd w:val="clear" w:color="auto" w:fill="FFFFFF"/>
              </w:rPr>
              <w:t>1.641</w:t>
            </w:r>
          </w:p>
        </w:tc>
        <w:tc>
          <w:tcPr>
            <w:tcW w:w="2303" w:type="dxa"/>
            <w:vAlign w:val="center"/>
          </w:tcPr>
          <w:p w:rsidR="00245331" w:rsidRPr="000001E6" w:rsidRDefault="005E3AFD" w:rsidP="009B306E">
            <w:pPr>
              <w:spacing w:before="60" w:after="60"/>
              <w:jc w:val="center"/>
              <w:rPr>
                <w:rFonts w:ascii="Times New Roman" w:hAnsi="Times New Roman"/>
                <w:b/>
                <w:sz w:val="20"/>
                <w:szCs w:val="20"/>
                <w:shd w:val="clear" w:color="auto" w:fill="FFFFFF"/>
              </w:rPr>
            </w:pPr>
            <w:r w:rsidRPr="000001E6">
              <w:rPr>
                <w:rFonts w:ascii="Times New Roman" w:hAnsi="Times New Roman"/>
                <w:b/>
                <w:sz w:val="20"/>
                <w:szCs w:val="20"/>
                <w:shd w:val="clear" w:color="auto" w:fill="FFFFFF"/>
              </w:rPr>
              <w:t>2.681</w:t>
            </w:r>
          </w:p>
        </w:tc>
        <w:tc>
          <w:tcPr>
            <w:tcW w:w="2303" w:type="dxa"/>
            <w:vAlign w:val="center"/>
          </w:tcPr>
          <w:p w:rsidR="00245331" w:rsidRPr="000001E6" w:rsidRDefault="005E3AFD" w:rsidP="009B306E">
            <w:pPr>
              <w:spacing w:before="60" w:after="60"/>
              <w:ind w:right="491"/>
              <w:jc w:val="right"/>
              <w:rPr>
                <w:rFonts w:ascii="Times New Roman" w:hAnsi="Times New Roman"/>
                <w:b/>
                <w:sz w:val="20"/>
                <w:szCs w:val="20"/>
                <w:shd w:val="clear" w:color="auto" w:fill="FFFFFF"/>
              </w:rPr>
            </w:pPr>
            <w:r w:rsidRPr="000001E6">
              <w:rPr>
                <w:rFonts w:ascii="Times New Roman" w:hAnsi="Times New Roman"/>
                <w:b/>
                <w:sz w:val="20"/>
                <w:szCs w:val="20"/>
                <w:shd w:val="clear" w:color="auto" w:fill="FFFFFF"/>
              </w:rPr>
              <w:t>89.533.509</w:t>
            </w:r>
          </w:p>
        </w:tc>
      </w:tr>
    </w:tbl>
    <w:p w:rsidR="00C709CA" w:rsidRPr="000001E6" w:rsidRDefault="00C709CA" w:rsidP="00D04550">
      <w:pPr>
        <w:rPr>
          <w:rFonts w:ascii="Times New Roman" w:hAnsi="Times New Roman"/>
        </w:rPr>
      </w:pPr>
    </w:p>
    <w:p w:rsidR="00F46268" w:rsidRDefault="00F46268" w:rsidP="00D04550">
      <w:pPr>
        <w:rPr>
          <w:rFonts w:ascii="Times New Roman" w:hAnsi="Times New Roman"/>
        </w:rPr>
      </w:pPr>
      <w:r w:rsidRPr="000001E6">
        <w:rPr>
          <w:rFonts w:ascii="Times New Roman" w:hAnsi="Times New Roman"/>
        </w:rPr>
        <w:t xml:space="preserve">Esse aumento da área de atuação da </w:t>
      </w:r>
      <w:r w:rsidR="007B7BD6" w:rsidRPr="000001E6">
        <w:rPr>
          <w:rFonts w:ascii="Times New Roman" w:hAnsi="Times New Roman"/>
        </w:rPr>
        <w:t>Codevasf</w:t>
      </w:r>
      <w:r w:rsidRPr="000001E6">
        <w:rPr>
          <w:rFonts w:ascii="Times New Roman" w:hAnsi="Times New Roman"/>
        </w:rPr>
        <w:t xml:space="preserve"> ocorreu porque a sociedade e o corpo político passaram a demandar a presença dela em outros segmentos e regiões, devido ao reconhecimento do relevante trabalho realizado pela empresa como agente público, promovendo o crescimento econômico, social e difundindo novas tecnologias no segmento da agricultura irrigada, na oferta de água, no apoio as ações de arranjos produtivos locais, nas ações de melhorias de infra e supraestruturas, e outros segmentos, aumentando suas linhas de negócios.</w:t>
      </w:r>
    </w:p>
    <w:p w:rsidR="00653E7F" w:rsidRPr="000001E6" w:rsidRDefault="00653E7F" w:rsidP="00D04550">
      <w:pPr>
        <w:rPr>
          <w:rFonts w:ascii="Times New Roman" w:hAnsi="Times New Roman"/>
        </w:rPr>
      </w:pPr>
    </w:p>
    <w:p w:rsidR="00197CFC" w:rsidRDefault="00197CFC" w:rsidP="00D04550">
      <w:pPr>
        <w:rPr>
          <w:rFonts w:ascii="Times New Roman" w:hAnsi="Times New Roman"/>
        </w:rPr>
      </w:pPr>
      <w:r w:rsidRPr="00556792">
        <w:rPr>
          <w:rFonts w:ascii="Times New Roman" w:hAnsi="Times New Roman"/>
        </w:rPr>
        <w:t xml:space="preserve">Orçamentariamente, a </w:t>
      </w:r>
      <w:r w:rsidR="007B7BD6" w:rsidRPr="00556792">
        <w:rPr>
          <w:rFonts w:ascii="Times New Roman" w:hAnsi="Times New Roman"/>
        </w:rPr>
        <w:t>Codevasf</w:t>
      </w:r>
      <w:r w:rsidRPr="00556792">
        <w:rPr>
          <w:rFonts w:ascii="Times New Roman" w:hAnsi="Times New Roman"/>
        </w:rPr>
        <w:t xml:space="preserve"> é uma empresa pública dependente </w:t>
      </w:r>
      <w:proofErr w:type="gramStart"/>
      <w:r w:rsidRPr="00556792">
        <w:rPr>
          <w:rFonts w:ascii="Times New Roman" w:hAnsi="Times New Roman"/>
        </w:rPr>
        <w:t>100% (cem por cento) do capital da União</w:t>
      </w:r>
      <w:r w:rsidR="005063B6">
        <w:rPr>
          <w:rFonts w:ascii="Times New Roman" w:hAnsi="Times New Roman"/>
        </w:rPr>
        <w:t>,</w:t>
      </w:r>
      <w:r w:rsidRPr="00556792">
        <w:rPr>
          <w:rFonts w:ascii="Times New Roman" w:hAnsi="Times New Roman"/>
        </w:rPr>
        <w:t xml:space="preserve"> e que transforma a realidade das pessoas</w:t>
      </w:r>
      <w:proofErr w:type="gramEnd"/>
      <w:r w:rsidRPr="00556792">
        <w:rPr>
          <w:rFonts w:ascii="Times New Roman" w:hAnsi="Times New Roman"/>
        </w:rPr>
        <w:t>, com foco na melhoria dos três pilares básicos da sustentabilidade: social</w:t>
      </w:r>
      <w:r w:rsidR="009341D1" w:rsidRPr="00556792">
        <w:rPr>
          <w:rFonts w:ascii="Times New Roman" w:hAnsi="Times New Roman"/>
        </w:rPr>
        <w:t>, econômico e ambiental. Atua</w:t>
      </w:r>
      <w:r w:rsidRPr="00556792">
        <w:rPr>
          <w:rFonts w:ascii="Times New Roman" w:hAnsi="Times New Roman"/>
        </w:rPr>
        <w:t xml:space="preserve"> com base na capacidade té</w:t>
      </w:r>
      <w:r w:rsidR="009341D1" w:rsidRPr="00556792">
        <w:rPr>
          <w:rFonts w:ascii="Times New Roman" w:hAnsi="Times New Roman"/>
        </w:rPr>
        <w:t>cnica de sua força de trabalho, alicerçada</w:t>
      </w:r>
      <w:r w:rsidRPr="00556792">
        <w:rPr>
          <w:rFonts w:ascii="Times New Roman" w:hAnsi="Times New Roman"/>
        </w:rPr>
        <w:t xml:space="preserve"> nas expertises e experiênc</w:t>
      </w:r>
      <w:r w:rsidR="009341D1" w:rsidRPr="00556792">
        <w:rPr>
          <w:rFonts w:ascii="Times New Roman" w:hAnsi="Times New Roman"/>
        </w:rPr>
        <w:t>ias adquiridas ao longo da sua</w:t>
      </w:r>
      <w:r w:rsidRPr="00556792">
        <w:rPr>
          <w:rFonts w:ascii="Times New Roman" w:hAnsi="Times New Roman"/>
        </w:rPr>
        <w:t xml:space="preserve">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w:t>
      </w:r>
    </w:p>
    <w:p w:rsidR="00653E7F" w:rsidRPr="00482B31" w:rsidRDefault="00653E7F" w:rsidP="00D04550">
      <w:pPr>
        <w:rPr>
          <w:rFonts w:ascii="Times New Roman" w:hAnsi="Times New Roman"/>
        </w:rPr>
      </w:pPr>
    </w:p>
    <w:p w:rsidR="005A4DC0" w:rsidRPr="00482B31" w:rsidRDefault="005A4DC0" w:rsidP="00D04550">
      <w:pPr>
        <w:rPr>
          <w:rFonts w:ascii="Times New Roman" w:hAnsi="Times New Roman"/>
        </w:rPr>
      </w:pPr>
      <w:r w:rsidRPr="00482B31">
        <w:rPr>
          <w:rFonts w:ascii="Times New Roman" w:hAnsi="Times New Roman"/>
        </w:rPr>
        <w:t xml:space="preserve">A empresa </w:t>
      </w:r>
      <w:r w:rsidR="00871413" w:rsidRPr="00482B31">
        <w:rPr>
          <w:rFonts w:ascii="Times New Roman" w:hAnsi="Times New Roman"/>
        </w:rPr>
        <w:t xml:space="preserve">tem como missão institucional </w:t>
      </w:r>
      <w:r w:rsidR="00871413" w:rsidRPr="00482B31">
        <w:rPr>
          <w:rFonts w:ascii="Times New Roman" w:hAnsi="Times New Roman"/>
          <w:b/>
        </w:rPr>
        <w:t>“d</w:t>
      </w:r>
      <w:r w:rsidRPr="00482B31">
        <w:rPr>
          <w:rFonts w:ascii="Times New Roman" w:hAnsi="Times New Roman"/>
          <w:b/>
        </w:rPr>
        <w:t>esenvolver bacias hidrográficas de forma integrada e sustentável, contribuindo para a redução das desigualdades regionais”</w:t>
      </w:r>
      <w:r w:rsidRPr="00482B31">
        <w:rPr>
          <w:rFonts w:ascii="Times New Roman" w:hAnsi="Times New Roman"/>
        </w:rPr>
        <w:t xml:space="preserve">, norteada pelos objetivos fundamentais da República Federativa do Brasil previstos na Carta Magna, em especial, o de erradicar a pobreza, a marginalização e reduzir as desigualdades </w:t>
      </w:r>
      <w:r w:rsidRPr="00482B31">
        <w:rPr>
          <w:rFonts w:ascii="Times New Roman" w:hAnsi="Times New Roman"/>
        </w:rPr>
        <w:lastRenderedPageBreak/>
        <w:t xml:space="preserve">sociais e regionais (art. 3º, inciso III). Para atingir sua missão, a </w:t>
      </w:r>
      <w:r w:rsidR="007B7BD6" w:rsidRPr="00482B31">
        <w:rPr>
          <w:rFonts w:ascii="Times New Roman" w:hAnsi="Times New Roman"/>
        </w:rPr>
        <w:t>Codevasf</w:t>
      </w:r>
      <w:r w:rsidRPr="00482B31">
        <w:rPr>
          <w:rFonts w:ascii="Times New Roman" w:hAnsi="Times New Roman"/>
        </w:rPr>
        <w:t xml:space="preserve"> realiza todo ano um planejamento de nível tático-operacional, que resulta no Plano Anual de Negócios – PAN. O PAN é um importante instrumento de governança da </w:t>
      </w:r>
      <w:r w:rsidR="007B7BD6" w:rsidRPr="00482B31">
        <w:rPr>
          <w:rFonts w:ascii="Times New Roman" w:hAnsi="Times New Roman"/>
        </w:rPr>
        <w:t>Codevasf</w:t>
      </w:r>
      <w:r w:rsidRPr="00482B31">
        <w:rPr>
          <w:rFonts w:ascii="Times New Roman" w:hAnsi="Times New Roman"/>
        </w:rPr>
        <w:t xml:space="preserve"> no qual são estabelecidos os principais projetos que serão desenvolvidos em determinado exercício. O PAN apresenta as metas físicas, orçamentárias e financeiras que serão priorizadas pela empresa a partir do alinhamento com o Planejamento Estratégico Institucional – PEI, com foco em três temas estratégicos: “Segurança Hídrica”, “Agricultura Irrigada” e “Economia Sustentável”, conforme detalhado no quadro a seguir.</w:t>
      </w:r>
    </w:p>
    <w:p w:rsidR="006E30A4" w:rsidRPr="00482B31" w:rsidRDefault="006E30A4" w:rsidP="00D04550">
      <w:pPr>
        <w:rPr>
          <w:rFonts w:ascii="Times New Roman" w:hAnsi="Times New Roman"/>
        </w:rPr>
      </w:pPr>
    </w:p>
    <w:tbl>
      <w:tblPr>
        <w:tblStyle w:val="Tabelacomgrade"/>
        <w:tblW w:w="0" w:type="auto"/>
        <w:tblLook w:val="04A0"/>
      </w:tblPr>
      <w:tblGrid>
        <w:gridCol w:w="2802"/>
        <w:gridCol w:w="3339"/>
        <w:gridCol w:w="3071"/>
      </w:tblGrid>
      <w:tr w:rsidR="006E30A4" w:rsidRPr="00482B31" w:rsidTr="00EA3299">
        <w:tc>
          <w:tcPr>
            <w:tcW w:w="2802" w:type="dxa"/>
            <w:vAlign w:val="center"/>
          </w:tcPr>
          <w:p w:rsidR="006E30A4" w:rsidRPr="00482B31" w:rsidRDefault="006E30A4" w:rsidP="006E30A4">
            <w:pPr>
              <w:jc w:val="center"/>
              <w:rPr>
                <w:rFonts w:ascii="Times New Roman" w:hAnsi="Times New Roman"/>
                <w:b/>
              </w:rPr>
            </w:pPr>
            <w:r w:rsidRPr="00482B31">
              <w:rPr>
                <w:rFonts w:ascii="Times New Roman" w:hAnsi="Times New Roman"/>
                <w:b/>
              </w:rPr>
              <w:t>Tema Estratégico</w:t>
            </w:r>
          </w:p>
        </w:tc>
        <w:tc>
          <w:tcPr>
            <w:tcW w:w="3339" w:type="dxa"/>
            <w:vAlign w:val="center"/>
          </w:tcPr>
          <w:p w:rsidR="006E30A4" w:rsidRPr="00482B31" w:rsidRDefault="006E30A4" w:rsidP="006E30A4">
            <w:pPr>
              <w:jc w:val="center"/>
              <w:rPr>
                <w:rFonts w:ascii="Times New Roman" w:hAnsi="Times New Roman"/>
                <w:b/>
              </w:rPr>
            </w:pPr>
            <w:r w:rsidRPr="00482B31">
              <w:rPr>
                <w:rFonts w:ascii="Times New Roman" w:hAnsi="Times New Roman"/>
                <w:b/>
              </w:rPr>
              <w:t>Setor</w:t>
            </w:r>
          </w:p>
        </w:tc>
        <w:tc>
          <w:tcPr>
            <w:tcW w:w="3071" w:type="dxa"/>
            <w:vAlign w:val="center"/>
          </w:tcPr>
          <w:p w:rsidR="006E30A4" w:rsidRPr="00482B31" w:rsidRDefault="006E30A4" w:rsidP="006E30A4">
            <w:pPr>
              <w:jc w:val="center"/>
              <w:rPr>
                <w:rFonts w:ascii="Times New Roman" w:hAnsi="Times New Roman"/>
                <w:b/>
              </w:rPr>
            </w:pPr>
            <w:r w:rsidRPr="00482B31">
              <w:rPr>
                <w:rFonts w:ascii="Times New Roman" w:hAnsi="Times New Roman"/>
                <w:b/>
              </w:rPr>
              <w:t>Segmentos / Intervenções</w:t>
            </w:r>
          </w:p>
        </w:tc>
      </w:tr>
      <w:tr w:rsidR="00EA3299" w:rsidRPr="00482B31" w:rsidTr="00EA3299">
        <w:tc>
          <w:tcPr>
            <w:tcW w:w="2802" w:type="dxa"/>
            <w:vMerge w:val="restart"/>
            <w:vAlign w:val="center"/>
          </w:tcPr>
          <w:p w:rsidR="00EA3299" w:rsidRPr="00482B31" w:rsidRDefault="00EA3299" w:rsidP="006E30A4">
            <w:pPr>
              <w:jc w:val="center"/>
              <w:rPr>
                <w:rFonts w:ascii="Times New Roman" w:hAnsi="Times New Roman"/>
                <w:b/>
              </w:rPr>
            </w:pPr>
            <w:r w:rsidRPr="00482B31">
              <w:rPr>
                <w:rFonts w:ascii="Times New Roman" w:hAnsi="Times New Roman"/>
                <w:b/>
              </w:rPr>
              <w:t>Segurança Hídrica</w:t>
            </w:r>
          </w:p>
        </w:tc>
        <w:tc>
          <w:tcPr>
            <w:tcW w:w="3339" w:type="dxa"/>
            <w:vAlign w:val="center"/>
          </w:tcPr>
          <w:p w:rsidR="00EA3299" w:rsidRPr="00482B31" w:rsidRDefault="00EA3299" w:rsidP="006E30A4">
            <w:pPr>
              <w:jc w:val="center"/>
              <w:rPr>
                <w:rFonts w:ascii="Times New Roman" w:hAnsi="Times New Roman"/>
                <w:b/>
              </w:rPr>
            </w:pPr>
            <w:r w:rsidRPr="00482B31">
              <w:rPr>
                <w:rFonts w:ascii="Times New Roman" w:hAnsi="Times New Roman"/>
                <w:b/>
              </w:rPr>
              <w:t>Revitalização de Bacias Hidrográficas</w:t>
            </w:r>
          </w:p>
        </w:tc>
        <w:tc>
          <w:tcPr>
            <w:tcW w:w="3071" w:type="dxa"/>
            <w:vAlign w:val="center"/>
          </w:tcPr>
          <w:p w:rsidR="00EA3299" w:rsidRPr="00482B31" w:rsidRDefault="00EA3299" w:rsidP="00EA3299">
            <w:pPr>
              <w:rPr>
                <w:rFonts w:ascii="Times New Roman" w:hAnsi="Times New Roman"/>
                <w:sz w:val="16"/>
                <w:szCs w:val="16"/>
              </w:rPr>
            </w:pPr>
            <w:r w:rsidRPr="00482B31">
              <w:rPr>
                <w:rFonts w:ascii="Times New Roman" w:hAnsi="Times New Roman"/>
                <w:sz w:val="16"/>
                <w:szCs w:val="16"/>
              </w:rPr>
              <w:t>- Esgotamento sanitário;</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Ligações intra-domiciliares;</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Sistemas de abastecimento de água;</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Processos erosivos.</w:t>
            </w:r>
          </w:p>
        </w:tc>
      </w:tr>
      <w:tr w:rsidR="00EA3299" w:rsidRPr="00482B31" w:rsidTr="00EA3299">
        <w:tc>
          <w:tcPr>
            <w:tcW w:w="2802" w:type="dxa"/>
            <w:vMerge/>
            <w:vAlign w:val="center"/>
          </w:tcPr>
          <w:p w:rsidR="00EA3299" w:rsidRPr="00482B31" w:rsidRDefault="00EA3299" w:rsidP="006E30A4">
            <w:pPr>
              <w:jc w:val="center"/>
              <w:rPr>
                <w:rFonts w:ascii="Times New Roman" w:hAnsi="Times New Roman"/>
                <w:b/>
              </w:rPr>
            </w:pPr>
          </w:p>
        </w:tc>
        <w:tc>
          <w:tcPr>
            <w:tcW w:w="3339" w:type="dxa"/>
            <w:vAlign w:val="center"/>
          </w:tcPr>
          <w:p w:rsidR="00EA3299" w:rsidRPr="00482B31" w:rsidRDefault="00EA3299" w:rsidP="006E30A4">
            <w:pPr>
              <w:jc w:val="center"/>
              <w:rPr>
                <w:rFonts w:ascii="Times New Roman" w:hAnsi="Times New Roman"/>
                <w:b/>
              </w:rPr>
            </w:pPr>
            <w:r w:rsidRPr="00482B31">
              <w:rPr>
                <w:rFonts w:ascii="Times New Roman" w:hAnsi="Times New Roman"/>
                <w:b/>
              </w:rPr>
              <w:t>Infraestrutura Hídrica</w:t>
            </w:r>
          </w:p>
        </w:tc>
        <w:tc>
          <w:tcPr>
            <w:tcW w:w="3071" w:type="dxa"/>
            <w:vAlign w:val="center"/>
          </w:tcPr>
          <w:p w:rsidR="00EA3299" w:rsidRPr="00482B31" w:rsidRDefault="00EA3299" w:rsidP="00EA3299">
            <w:pPr>
              <w:rPr>
                <w:rFonts w:ascii="Times New Roman" w:hAnsi="Times New Roman"/>
                <w:sz w:val="16"/>
                <w:szCs w:val="16"/>
              </w:rPr>
            </w:pPr>
            <w:r w:rsidRPr="00482B31">
              <w:rPr>
                <w:rFonts w:ascii="Times New Roman" w:hAnsi="Times New Roman"/>
                <w:sz w:val="16"/>
                <w:szCs w:val="16"/>
              </w:rPr>
              <w:t>- Barragens/barreiros;</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Adutoras;</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Poços;</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Cisternas;</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Sistemas de abastecimento de água;</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Canais.</w:t>
            </w:r>
          </w:p>
        </w:tc>
      </w:tr>
      <w:tr w:rsidR="00EA3299" w:rsidRPr="00482B31" w:rsidTr="00EA3299">
        <w:tc>
          <w:tcPr>
            <w:tcW w:w="2802" w:type="dxa"/>
            <w:vMerge/>
            <w:vAlign w:val="center"/>
          </w:tcPr>
          <w:p w:rsidR="00EA3299" w:rsidRPr="00482B31" w:rsidRDefault="00EA3299" w:rsidP="006E30A4">
            <w:pPr>
              <w:jc w:val="center"/>
              <w:rPr>
                <w:rFonts w:ascii="Times New Roman" w:hAnsi="Times New Roman"/>
                <w:b/>
              </w:rPr>
            </w:pPr>
          </w:p>
        </w:tc>
        <w:tc>
          <w:tcPr>
            <w:tcW w:w="3339" w:type="dxa"/>
            <w:vAlign w:val="center"/>
          </w:tcPr>
          <w:p w:rsidR="00EA3299" w:rsidRPr="00482B31" w:rsidRDefault="00EA3299" w:rsidP="006E30A4">
            <w:pPr>
              <w:jc w:val="center"/>
              <w:rPr>
                <w:rFonts w:ascii="Times New Roman" w:hAnsi="Times New Roman"/>
                <w:b/>
              </w:rPr>
            </w:pPr>
            <w:r w:rsidRPr="00482B31">
              <w:rPr>
                <w:rFonts w:ascii="Times New Roman" w:hAnsi="Times New Roman"/>
                <w:b/>
              </w:rPr>
              <w:t>Adução de Água Bruta</w:t>
            </w:r>
          </w:p>
        </w:tc>
        <w:tc>
          <w:tcPr>
            <w:tcW w:w="3071" w:type="dxa"/>
            <w:vAlign w:val="center"/>
          </w:tcPr>
          <w:p w:rsidR="00EA3299" w:rsidRPr="00482B31" w:rsidRDefault="00EA3299" w:rsidP="00EA3299">
            <w:pPr>
              <w:rPr>
                <w:rFonts w:ascii="Times New Roman" w:hAnsi="Times New Roman"/>
                <w:sz w:val="16"/>
                <w:szCs w:val="16"/>
              </w:rPr>
            </w:pPr>
            <w:r w:rsidRPr="00482B31">
              <w:rPr>
                <w:rFonts w:ascii="Times New Roman" w:hAnsi="Times New Roman"/>
                <w:sz w:val="16"/>
                <w:szCs w:val="16"/>
              </w:rPr>
              <w:t>- Implantação de sistema de gestão do PISF;</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Operação e manutenção do PISF;</w:t>
            </w:r>
          </w:p>
        </w:tc>
      </w:tr>
      <w:tr w:rsidR="006E30A4" w:rsidRPr="00482B31" w:rsidTr="00EA3299">
        <w:tc>
          <w:tcPr>
            <w:tcW w:w="2802" w:type="dxa"/>
            <w:vAlign w:val="center"/>
          </w:tcPr>
          <w:p w:rsidR="006E30A4" w:rsidRPr="00482B31" w:rsidRDefault="00EA3299" w:rsidP="006E30A4">
            <w:pPr>
              <w:jc w:val="center"/>
              <w:rPr>
                <w:rFonts w:ascii="Times New Roman" w:hAnsi="Times New Roman"/>
                <w:b/>
              </w:rPr>
            </w:pPr>
            <w:r w:rsidRPr="00482B31">
              <w:rPr>
                <w:rFonts w:ascii="Times New Roman" w:hAnsi="Times New Roman"/>
                <w:b/>
              </w:rPr>
              <w:t>Agricultura Irrigada</w:t>
            </w:r>
          </w:p>
        </w:tc>
        <w:tc>
          <w:tcPr>
            <w:tcW w:w="3339" w:type="dxa"/>
            <w:vAlign w:val="center"/>
          </w:tcPr>
          <w:p w:rsidR="006E30A4" w:rsidRPr="00482B31" w:rsidRDefault="00EA3299" w:rsidP="006E30A4">
            <w:pPr>
              <w:jc w:val="center"/>
              <w:rPr>
                <w:rFonts w:ascii="Times New Roman" w:hAnsi="Times New Roman"/>
                <w:b/>
              </w:rPr>
            </w:pPr>
            <w:r w:rsidRPr="00482B31">
              <w:rPr>
                <w:rFonts w:ascii="Times New Roman" w:hAnsi="Times New Roman"/>
                <w:b/>
              </w:rPr>
              <w:t>Agricultura Irrigada</w:t>
            </w:r>
          </w:p>
        </w:tc>
        <w:tc>
          <w:tcPr>
            <w:tcW w:w="3071" w:type="dxa"/>
            <w:vAlign w:val="center"/>
          </w:tcPr>
          <w:p w:rsidR="006E30A4" w:rsidRPr="00482B31" w:rsidRDefault="00EA3299" w:rsidP="00EA3299">
            <w:pPr>
              <w:rPr>
                <w:rFonts w:ascii="Times New Roman" w:hAnsi="Times New Roman"/>
                <w:sz w:val="16"/>
                <w:szCs w:val="16"/>
              </w:rPr>
            </w:pPr>
            <w:r w:rsidRPr="00482B31">
              <w:rPr>
                <w:rFonts w:ascii="Times New Roman" w:hAnsi="Times New Roman"/>
                <w:sz w:val="16"/>
                <w:szCs w:val="16"/>
              </w:rPr>
              <w:t>- Gestão, administração e operação de projetos públicos de irrigação;</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Implantação de infraestrutura de uso comum para irrigação.</w:t>
            </w:r>
          </w:p>
        </w:tc>
      </w:tr>
      <w:tr w:rsidR="006E30A4" w:rsidRPr="00482B31" w:rsidTr="00EA3299">
        <w:tc>
          <w:tcPr>
            <w:tcW w:w="2802" w:type="dxa"/>
            <w:vAlign w:val="center"/>
          </w:tcPr>
          <w:p w:rsidR="006E30A4" w:rsidRPr="00482B31" w:rsidRDefault="00EA3299" w:rsidP="006E30A4">
            <w:pPr>
              <w:jc w:val="center"/>
              <w:rPr>
                <w:rFonts w:ascii="Times New Roman" w:hAnsi="Times New Roman"/>
                <w:b/>
              </w:rPr>
            </w:pPr>
            <w:r w:rsidRPr="00482B31">
              <w:rPr>
                <w:rFonts w:ascii="Times New Roman" w:hAnsi="Times New Roman"/>
                <w:b/>
              </w:rPr>
              <w:t>Economia Sustentável</w:t>
            </w:r>
          </w:p>
        </w:tc>
        <w:tc>
          <w:tcPr>
            <w:tcW w:w="3339" w:type="dxa"/>
            <w:vAlign w:val="center"/>
          </w:tcPr>
          <w:p w:rsidR="006E30A4" w:rsidRPr="00482B31" w:rsidRDefault="00EA3299" w:rsidP="006E30A4">
            <w:pPr>
              <w:jc w:val="center"/>
              <w:rPr>
                <w:rFonts w:ascii="Times New Roman" w:hAnsi="Times New Roman"/>
                <w:b/>
              </w:rPr>
            </w:pPr>
            <w:r w:rsidRPr="00482B31">
              <w:rPr>
                <w:rFonts w:ascii="Times New Roman" w:hAnsi="Times New Roman"/>
                <w:b/>
              </w:rPr>
              <w:t>Inclusão Produtiva</w:t>
            </w:r>
          </w:p>
        </w:tc>
        <w:tc>
          <w:tcPr>
            <w:tcW w:w="3071" w:type="dxa"/>
            <w:vAlign w:val="center"/>
          </w:tcPr>
          <w:p w:rsidR="006E30A4" w:rsidRPr="00482B31" w:rsidRDefault="00EA3299" w:rsidP="00EA3299">
            <w:pPr>
              <w:rPr>
                <w:rFonts w:ascii="Times New Roman" w:hAnsi="Times New Roman"/>
                <w:sz w:val="16"/>
                <w:szCs w:val="16"/>
              </w:rPr>
            </w:pPr>
            <w:r w:rsidRPr="00482B31">
              <w:rPr>
                <w:rFonts w:ascii="Times New Roman" w:hAnsi="Times New Roman"/>
                <w:sz w:val="16"/>
                <w:szCs w:val="16"/>
              </w:rPr>
              <w:t>- Apoio a atividades produtivas, apicultura, aquicultura, fruticultura e agricultura familiar;</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Capacitação de jovens;</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Obras de infraestrutura para escoamento de produção;</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Fornecimento de equipamentos, implementos agrícolas e máquinas;</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Projetos e obras de infraestrutura urbana e rural;</w:t>
            </w:r>
          </w:p>
          <w:p w:rsidR="00EA3299" w:rsidRPr="00482B31" w:rsidRDefault="00EA3299" w:rsidP="00EA3299">
            <w:pPr>
              <w:rPr>
                <w:rFonts w:ascii="Times New Roman" w:hAnsi="Times New Roman"/>
                <w:sz w:val="16"/>
                <w:szCs w:val="16"/>
              </w:rPr>
            </w:pPr>
            <w:r w:rsidRPr="00482B31">
              <w:rPr>
                <w:rFonts w:ascii="Times New Roman" w:hAnsi="Times New Roman"/>
                <w:sz w:val="16"/>
                <w:szCs w:val="16"/>
              </w:rPr>
              <w:t>- Operação dos Centros Integrados de Recursos Pesqueiros e Aquicultura.</w:t>
            </w:r>
          </w:p>
        </w:tc>
      </w:tr>
    </w:tbl>
    <w:p w:rsidR="006E30A4" w:rsidRPr="00482B31" w:rsidRDefault="006E30A4" w:rsidP="00D04550">
      <w:pPr>
        <w:rPr>
          <w:rFonts w:ascii="Times New Roman" w:hAnsi="Times New Roman"/>
        </w:rPr>
      </w:pPr>
    </w:p>
    <w:p w:rsidR="006E30A4" w:rsidRPr="008349CA" w:rsidRDefault="00EA3299" w:rsidP="00D04550">
      <w:pPr>
        <w:rPr>
          <w:rFonts w:ascii="Times New Roman" w:hAnsi="Times New Roman"/>
        </w:rPr>
      </w:pPr>
      <w:r w:rsidRPr="00482B31">
        <w:rPr>
          <w:rFonts w:ascii="Times New Roman" w:hAnsi="Times New Roman"/>
        </w:rPr>
        <w:t>Desses temas estratégicos encontra-se a “Economia Sustentável” que inclui ações para a</w:t>
      </w:r>
      <w:r w:rsidR="009341D1" w:rsidRPr="00482B31">
        <w:rPr>
          <w:rFonts w:ascii="Times New Roman" w:hAnsi="Times New Roman"/>
        </w:rPr>
        <w:t xml:space="preserve">quisição de </w:t>
      </w:r>
      <w:r w:rsidRPr="00482B31">
        <w:rPr>
          <w:rFonts w:ascii="Times New Roman" w:hAnsi="Times New Roman"/>
        </w:rPr>
        <w:t>equipamentos</w:t>
      </w:r>
      <w:r w:rsidR="00950DCE" w:rsidRPr="00482B31">
        <w:rPr>
          <w:rFonts w:ascii="Times New Roman" w:hAnsi="Times New Roman"/>
        </w:rPr>
        <w:t xml:space="preserve"> e materiais diversos</w:t>
      </w:r>
      <w:r w:rsidR="009341D1" w:rsidRPr="00482B31">
        <w:rPr>
          <w:rFonts w:ascii="Times New Roman" w:hAnsi="Times New Roman"/>
        </w:rPr>
        <w:t>, visando</w:t>
      </w:r>
      <w:r w:rsidRPr="00482B31">
        <w:rPr>
          <w:rFonts w:ascii="Times New Roman" w:hAnsi="Times New Roman"/>
        </w:rPr>
        <w:t xml:space="preserve"> aumentar a produção</w:t>
      </w:r>
      <w:r w:rsidR="009341D1" w:rsidRPr="00482B31">
        <w:rPr>
          <w:rFonts w:ascii="Times New Roman" w:hAnsi="Times New Roman"/>
        </w:rPr>
        <w:t xml:space="preserve"> e a produtividade</w:t>
      </w:r>
      <w:r w:rsidRPr="00482B31">
        <w:rPr>
          <w:rFonts w:ascii="Times New Roman" w:hAnsi="Times New Roman"/>
        </w:rPr>
        <w:t xml:space="preserve">, fortalecer </w:t>
      </w:r>
      <w:r w:rsidR="00950DCE" w:rsidRPr="00482B31">
        <w:rPr>
          <w:rFonts w:ascii="Times New Roman" w:hAnsi="Times New Roman"/>
        </w:rPr>
        <w:t>os arranjos produtivos locais (</w:t>
      </w:r>
      <w:proofErr w:type="spellStart"/>
      <w:r w:rsidR="00950DCE" w:rsidRPr="00482B31">
        <w:rPr>
          <w:rFonts w:ascii="Times New Roman" w:hAnsi="Times New Roman"/>
        </w:rPr>
        <w:t>APLs</w:t>
      </w:r>
      <w:proofErr w:type="spellEnd"/>
      <w:r w:rsidR="00950DCE" w:rsidRPr="00482B31">
        <w:rPr>
          <w:rFonts w:ascii="Times New Roman" w:hAnsi="Times New Roman"/>
        </w:rPr>
        <w:t xml:space="preserve">) </w:t>
      </w:r>
      <w:r w:rsidRPr="00482B31">
        <w:rPr>
          <w:rFonts w:ascii="Times New Roman" w:hAnsi="Times New Roman"/>
        </w:rPr>
        <w:t xml:space="preserve">e </w:t>
      </w:r>
      <w:r w:rsidR="009341D1" w:rsidRPr="00482B31">
        <w:rPr>
          <w:rFonts w:ascii="Times New Roman" w:hAnsi="Times New Roman"/>
        </w:rPr>
        <w:t xml:space="preserve">melhorar as condições </w:t>
      </w:r>
      <w:r w:rsidR="00950DCE" w:rsidRPr="00482B31">
        <w:rPr>
          <w:rFonts w:ascii="Times New Roman" w:hAnsi="Times New Roman"/>
        </w:rPr>
        <w:t>para produção agropecuária e</w:t>
      </w:r>
      <w:r w:rsidR="006538DE" w:rsidRPr="00482B31">
        <w:rPr>
          <w:rFonts w:ascii="Times New Roman" w:hAnsi="Times New Roman"/>
        </w:rPr>
        <w:t xml:space="preserve"> agroindustrial, </w:t>
      </w:r>
      <w:r w:rsidR="00950DCE" w:rsidRPr="00482B31">
        <w:rPr>
          <w:rFonts w:ascii="Times New Roman" w:hAnsi="Times New Roman"/>
        </w:rPr>
        <w:t xml:space="preserve">com redução </w:t>
      </w:r>
      <w:r w:rsidRPr="00482B31">
        <w:rPr>
          <w:rFonts w:ascii="Times New Roman" w:hAnsi="Times New Roman"/>
        </w:rPr>
        <w:t>de custos prod</w:t>
      </w:r>
      <w:r w:rsidR="009341D1" w:rsidRPr="00482B31">
        <w:rPr>
          <w:rFonts w:ascii="Times New Roman" w:hAnsi="Times New Roman"/>
        </w:rPr>
        <w:t>utivos e manutenção d</w:t>
      </w:r>
      <w:r w:rsidR="006F2875" w:rsidRPr="00482B31">
        <w:rPr>
          <w:rFonts w:ascii="Times New Roman" w:hAnsi="Times New Roman"/>
        </w:rPr>
        <w:t>o trabalhador na sua região de origem</w:t>
      </w:r>
      <w:r w:rsidRPr="00482B31">
        <w:rPr>
          <w:rFonts w:ascii="Times New Roman" w:hAnsi="Times New Roman"/>
        </w:rPr>
        <w:t xml:space="preserve">, possibilitando o apoio, estruturação e dinamização de cadeias </w:t>
      </w:r>
      <w:r w:rsidRPr="008349CA">
        <w:rPr>
          <w:rFonts w:ascii="Times New Roman" w:hAnsi="Times New Roman"/>
        </w:rPr>
        <w:t xml:space="preserve">produtivas. </w:t>
      </w:r>
      <w:r w:rsidR="00482B31" w:rsidRPr="008349CA">
        <w:rPr>
          <w:rFonts w:ascii="Times New Roman" w:hAnsi="Times New Roman"/>
        </w:rPr>
        <w:t>Em 2021</w:t>
      </w:r>
      <w:r w:rsidRPr="008349CA">
        <w:rPr>
          <w:rFonts w:ascii="Times New Roman" w:hAnsi="Times New Roman"/>
        </w:rPr>
        <w:t xml:space="preserve">, a </w:t>
      </w:r>
      <w:r w:rsidR="007B7BD6" w:rsidRPr="008349CA">
        <w:rPr>
          <w:rFonts w:ascii="Times New Roman" w:hAnsi="Times New Roman"/>
        </w:rPr>
        <w:t>Codevasf</w:t>
      </w:r>
      <w:r w:rsidR="008C482A">
        <w:rPr>
          <w:rFonts w:ascii="Times New Roman" w:hAnsi="Times New Roman"/>
        </w:rPr>
        <w:t xml:space="preserve"> atuou</w:t>
      </w:r>
      <w:r w:rsidRPr="008349CA">
        <w:rPr>
          <w:rFonts w:ascii="Times New Roman" w:hAnsi="Times New Roman"/>
        </w:rPr>
        <w:t xml:space="preserve"> em 05 (cinco) cadeias por meio de fornecimento de equipamentos, veículos </w:t>
      </w:r>
      <w:r w:rsidR="00950DCE" w:rsidRPr="008349CA">
        <w:rPr>
          <w:rFonts w:ascii="Times New Roman" w:hAnsi="Times New Roman"/>
        </w:rPr>
        <w:t xml:space="preserve">materiais </w:t>
      </w:r>
      <w:r w:rsidRPr="008349CA">
        <w:rPr>
          <w:rFonts w:ascii="Times New Roman" w:hAnsi="Times New Roman"/>
        </w:rPr>
        <w:t>e treinamentos, além de executar obras de infra</w:t>
      </w:r>
      <w:r w:rsidR="009341D1" w:rsidRPr="008349CA">
        <w:rPr>
          <w:rFonts w:ascii="Times New Roman" w:hAnsi="Times New Roman"/>
        </w:rPr>
        <w:t xml:space="preserve"> e supraestruturas</w:t>
      </w:r>
      <w:r w:rsidRPr="008349CA">
        <w:rPr>
          <w:rFonts w:ascii="Times New Roman" w:hAnsi="Times New Roman"/>
        </w:rPr>
        <w:t xml:space="preserve"> de apoio </w:t>
      </w:r>
      <w:r w:rsidR="00950DCE" w:rsidRPr="008349CA">
        <w:rPr>
          <w:rFonts w:ascii="Times New Roman" w:hAnsi="Times New Roman"/>
        </w:rPr>
        <w:t xml:space="preserve">e incentivo </w:t>
      </w:r>
      <w:r w:rsidRPr="008349CA">
        <w:rPr>
          <w:rFonts w:ascii="Times New Roman" w:hAnsi="Times New Roman"/>
        </w:rPr>
        <w:t xml:space="preserve">à produção. Estima-se que com a realização dessas ações, foram beneficiados diretamente </w:t>
      </w:r>
      <w:r w:rsidR="009341D1" w:rsidRPr="008349CA">
        <w:rPr>
          <w:rFonts w:ascii="Times New Roman" w:hAnsi="Times New Roman"/>
        </w:rPr>
        <w:t>mais de 20</w:t>
      </w:r>
      <w:r w:rsidR="00E67E36" w:rsidRPr="008349CA">
        <w:rPr>
          <w:rFonts w:ascii="Times New Roman" w:hAnsi="Times New Roman"/>
        </w:rPr>
        <w:t>.000</w:t>
      </w:r>
      <w:r w:rsidRPr="008349CA">
        <w:rPr>
          <w:rFonts w:ascii="Times New Roman" w:hAnsi="Times New Roman"/>
        </w:rPr>
        <w:t xml:space="preserve"> (</w:t>
      </w:r>
      <w:r w:rsidR="009341D1" w:rsidRPr="008349CA">
        <w:rPr>
          <w:rFonts w:ascii="Times New Roman" w:hAnsi="Times New Roman"/>
        </w:rPr>
        <w:t>vinte mil</w:t>
      </w:r>
      <w:r w:rsidRPr="008349CA">
        <w:rPr>
          <w:rFonts w:ascii="Times New Roman" w:hAnsi="Times New Roman"/>
        </w:rPr>
        <w:t>)</w:t>
      </w:r>
      <w:r w:rsidR="008C482A">
        <w:rPr>
          <w:rFonts w:ascii="Times New Roman" w:hAnsi="Times New Roman"/>
        </w:rPr>
        <w:t xml:space="preserve"> </w:t>
      </w:r>
      <w:r w:rsidR="009341D1" w:rsidRPr="008349CA">
        <w:rPr>
          <w:rFonts w:ascii="Times New Roman" w:hAnsi="Times New Roman"/>
        </w:rPr>
        <w:t>pessoas</w:t>
      </w:r>
      <w:r w:rsidR="006F2875" w:rsidRPr="008349CA">
        <w:rPr>
          <w:rFonts w:ascii="Times New Roman" w:hAnsi="Times New Roman"/>
        </w:rPr>
        <w:t>, com r</w:t>
      </w:r>
      <w:r w:rsidRPr="008349CA">
        <w:rPr>
          <w:rFonts w:ascii="Times New Roman" w:hAnsi="Times New Roman"/>
        </w:rPr>
        <w:t>ecursos provenientes de emendas parlamentares</w:t>
      </w:r>
      <w:r w:rsidR="00394AD1" w:rsidRPr="008349CA">
        <w:rPr>
          <w:rFonts w:ascii="Times New Roman" w:hAnsi="Times New Roman"/>
        </w:rPr>
        <w:t xml:space="preserve"> impositivas, emendas de relatoria e destaque orçamentário</w:t>
      </w:r>
      <w:r w:rsidRPr="008349CA">
        <w:rPr>
          <w:rFonts w:ascii="Times New Roman" w:hAnsi="Times New Roman"/>
        </w:rPr>
        <w:t xml:space="preserve"> (Fonte: Relatório de Gestão da </w:t>
      </w:r>
      <w:r w:rsidR="007B7BD6" w:rsidRPr="008349CA">
        <w:rPr>
          <w:rFonts w:ascii="Times New Roman" w:hAnsi="Times New Roman"/>
        </w:rPr>
        <w:t>Codevasf</w:t>
      </w:r>
      <w:r w:rsidR="008C482A">
        <w:rPr>
          <w:rFonts w:ascii="Times New Roman" w:hAnsi="Times New Roman"/>
        </w:rPr>
        <w:t xml:space="preserve"> </w:t>
      </w:r>
      <w:r w:rsidR="00E003D2">
        <w:rPr>
          <w:rFonts w:ascii="Times New Roman" w:hAnsi="Times New Roman"/>
        </w:rPr>
        <w:t xml:space="preserve">– </w:t>
      </w:r>
      <w:r w:rsidR="009368FD" w:rsidRPr="008349CA">
        <w:rPr>
          <w:rFonts w:ascii="Times New Roman" w:hAnsi="Times New Roman"/>
        </w:rPr>
        <w:t>2021</w:t>
      </w:r>
      <w:r w:rsidRPr="008349CA">
        <w:rPr>
          <w:rFonts w:ascii="Times New Roman" w:hAnsi="Times New Roman"/>
        </w:rPr>
        <w:t>).</w:t>
      </w:r>
      <w:r w:rsidR="008349CA">
        <w:rPr>
          <w:rFonts w:ascii="Times New Roman" w:hAnsi="Times New Roman"/>
        </w:rPr>
        <w:t xml:space="preserve"> Aguarda-se a disponibilização do Relatór</w:t>
      </w:r>
      <w:r w:rsidR="008C482A">
        <w:rPr>
          <w:rFonts w:ascii="Times New Roman" w:hAnsi="Times New Roman"/>
        </w:rPr>
        <w:t>io de Gestão da Codevasf – 2022, para obtenção de informações referentes ao ano passado.</w:t>
      </w:r>
    </w:p>
    <w:p w:rsidR="00EA3299" w:rsidRPr="008349CA" w:rsidRDefault="00EA3299" w:rsidP="00D04550">
      <w:pPr>
        <w:rPr>
          <w:rFonts w:ascii="Times New Roman" w:hAnsi="Times New Roman"/>
        </w:rPr>
      </w:pPr>
    </w:p>
    <w:p w:rsidR="007E39EF" w:rsidRPr="008349CA" w:rsidRDefault="007E39EF" w:rsidP="00D04550">
      <w:pPr>
        <w:rPr>
          <w:rFonts w:ascii="Times New Roman" w:hAnsi="Times New Roman"/>
        </w:rPr>
      </w:pPr>
    </w:p>
    <w:p w:rsidR="00EA3299" w:rsidRPr="00482B31" w:rsidRDefault="00EA3299" w:rsidP="00EA3299">
      <w:pPr>
        <w:pStyle w:val="Textbody"/>
        <w:spacing w:after="0"/>
        <w:jc w:val="both"/>
        <w:rPr>
          <w:rFonts w:eastAsia="Calibri" w:cs="Times New Roman"/>
          <w:b/>
          <w:bCs/>
        </w:rPr>
      </w:pPr>
      <w:r w:rsidRPr="00482B31">
        <w:rPr>
          <w:rFonts w:eastAsia="Calibri" w:cs="Times New Roman"/>
          <w:b/>
          <w:bCs/>
        </w:rPr>
        <w:t xml:space="preserve">2. </w:t>
      </w:r>
      <w:r w:rsidR="00E8340D" w:rsidRPr="00482B31">
        <w:rPr>
          <w:rFonts w:eastAsia="Calibri" w:cs="Times New Roman"/>
          <w:b/>
          <w:bCs/>
        </w:rPr>
        <w:t xml:space="preserve">APORTE DE RECURSOS DA </w:t>
      </w:r>
      <w:r w:rsidR="007B7BD6" w:rsidRPr="00482B31">
        <w:rPr>
          <w:rFonts w:eastAsia="Calibri" w:cs="Times New Roman"/>
          <w:b/>
          <w:bCs/>
        </w:rPr>
        <w:t>CODEVASF</w:t>
      </w:r>
      <w:r w:rsidR="00E8340D" w:rsidRPr="00482B31">
        <w:rPr>
          <w:rFonts w:eastAsia="Calibri" w:cs="Times New Roman"/>
          <w:b/>
          <w:bCs/>
        </w:rPr>
        <w:t xml:space="preserve"> E OPORTUNIDADES</w:t>
      </w:r>
    </w:p>
    <w:p w:rsidR="00EA3299" w:rsidRPr="00482B31" w:rsidRDefault="00EA3299" w:rsidP="00EA3299">
      <w:pPr>
        <w:rPr>
          <w:rFonts w:ascii="Times New Roman" w:hAnsi="Times New Roman"/>
          <w:bCs/>
        </w:rPr>
      </w:pPr>
    </w:p>
    <w:p w:rsidR="00E8340D" w:rsidRDefault="00E8340D" w:rsidP="00EA3299">
      <w:pPr>
        <w:rPr>
          <w:rFonts w:ascii="Times New Roman" w:hAnsi="Times New Roman"/>
          <w:bCs/>
        </w:rPr>
      </w:pPr>
      <w:r w:rsidRPr="00482B31">
        <w:rPr>
          <w:rFonts w:ascii="Times New Roman" w:hAnsi="Times New Roman"/>
          <w:bCs/>
        </w:rPr>
        <w:t xml:space="preserve">A </w:t>
      </w:r>
      <w:r w:rsidR="007B7BD6" w:rsidRPr="00482B31">
        <w:rPr>
          <w:rFonts w:ascii="Times New Roman" w:hAnsi="Times New Roman"/>
          <w:bCs/>
        </w:rPr>
        <w:t>Codevasf</w:t>
      </w:r>
      <w:r w:rsidRPr="00482B31">
        <w:rPr>
          <w:rFonts w:ascii="Times New Roman" w:hAnsi="Times New Roman"/>
          <w:bCs/>
        </w:rPr>
        <w:t xml:space="preserve"> como empresa pública dependente dos aportes orçamentários e financeiros da União, depende fortemente dos direcionamentos adotados pelo Governo Federal. Os programas e ações executadas e respectivo orçamento originam-se nas políticas públicas </w:t>
      </w:r>
      <w:r w:rsidRPr="00482B31">
        <w:rPr>
          <w:rFonts w:ascii="Times New Roman" w:hAnsi="Times New Roman"/>
          <w:bCs/>
        </w:rPr>
        <w:lastRenderedPageBreak/>
        <w:t>implementadas pelo Executivo Federal, as quais são materializadas no Plano Plurianual e Orçamento Anual. Assim, a política fiscal afeta diretamente os recursos destinados aos programas executados pela Companhia e seus parceiros.</w:t>
      </w:r>
    </w:p>
    <w:p w:rsidR="00653E7F" w:rsidRPr="00482B31" w:rsidRDefault="00653E7F" w:rsidP="00EA3299">
      <w:pPr>
        <w:rPr>
          <w:rFonts w:ascii="Times New Roman" w:hAnsi="Times New Roman"/>
          <w:bCs/>
        </w:rPr>
      </w:pPr>
    </w:p>
    <w:p w:rsidR="00E8340D" w:rsidRDefault="00E8340D" w:rsidP="00EA3299">
      <w:pPr>
        <w:rPr>
          <w:rFonts w:ascii="Times New Roman" w:hAnsi="Times New Roman"/>
          <w:bCs/>
        </w:rPr>
      </w:pPr>
      <w:r w:rsidRPr="00482B31">
        <w:rPr>
          <w:rFonts w:ascii="Times New Roman" w:hAnsi="Times New Roman"/>
          <w:bCs/>
        </w:rPr>
        <w:t>As demandas da área de atuação são o grande direcionador da estratégia corporativa, pois atendê-las é o sentido da existência da instituição. As dimensões econômica, social, ambiental e institucional devem ser monitoradas sistematicamente, visando identificar potencialidades e vulnerabilidades dos territórios.</w:t>
      </w:r>
    </w:p>
    <w:p w:rsidR="003B3035" w:rsidRPr="00482B31" w:rsidRDefault="003B3035" w:rsidP="00EA3299">
      <w:pPr>
        <w:rPr>
          <w:rFonts w:ascii="Times New Roman" w:hAnsi="Times New Roman"/>
          <w:bCs/>
        </w:rPr>
      </w:pPr>
    </w:p>
    <w:p w:rsidR="006E30A4" w:rsidRDefault="00E8340D" w:rsidP="00D04550">
      <w:pPr>
        <w:rPr>
          <w:rFonts w:ascii="Times New Roman" w:hAnsi="Times New Roman"/>
          <w:bCs/>
        </w:rPr>
      </w:pPr>
      <w:r w:rsidRPr="00482B31">
        <w:rPr>
          <w:rFonts w:ascii="Times New Roman" w:hAnsi="Times New Roman"/>
          <w:bCs/>
        </w:rPr>
        <w:t xml:space="preserve">A capacidade operacional da </w:t>
      </w:r>
      <w:r w:rsidR="007B7BD6" w:rsidRPr="00482B31">
        <w:rPr>
          <w:rFonts w:ascii="Times New Roman" w:hAnsi="Times New Roman"/>
          <w:bCs/>
        </w:rPr>
        <w:t>Codevasf</w:t>
      </w:r>
      <w:r w:rsidRPr="00482B31">
        <w:rPr>
          <w:rFonts w:ascii="Times New Roman" w:hAnsi="Times New Roman"/>
          <w:bCs/>
        </w:rPr>
        <w:t>, alinhada à sua capilaridade e ampla experiência, permite a atuação eficaz no desenvolvimento regional, seja de forma estrutural ou pontual. É capaz de suprir as demandas locais e regionais para fomentar o desenvolvimento socioeconômico e ambiental.</w:t>
      </w:r>
    </w:p>
    <w:p w:rsidR="003B3035" w:rsidRPr="00482B31" w:rsidRDefault="003B3035" w:rsidP="00D04550">
      <w:pPr>
        <w:rPr>
          <w:rFonts w:ascii="Times New Roman" w:hAnsi="Times New Roman"/>
          <w:bCs/>
        </w:rPr>
      </w:pPr>
    </w:p>
    <w:p w:rsidR="00E8340D" w:rsidRDefault="00E8340D" w:rsidP="00D04550">
      <w:pPr>
        <w:rPr>
          <w:rFonts w:ascii="Times New Roman" w:hAnsi="Times New Roman"/>
          <w:bCs/>
        </w:rPr>
      </w:pPr>
      <w:r w:rsidRPr="00482B31">
        <w:rPr>
          <w:rFonts w:ascii="Times New Roman" w:hAnsi="Times New Roman"/>
          <w:bCs/>
        </w:rPr>
        <w:t>Destaca-se que no âmbito da sua área de atuação existem diversos municípios que possuem os piores indicadores socioeconômicos do país e enfrentam severos problemas climáticos. Essas regiões têm grandes potencialidades de desenvolvimento que não são totalmente aproveitadas, principalmente respaldadas pelas grandes demandas para incremento das atividades produtivas.</w:t>
      </w:r>
    </w:p>
    <w:p w:rsidR="003B3035" w:rsidRPr="00482B31" w:rsidRDefault="003B3035" w:rsidP="00D04550">
      <w:pPr>
        <w:rPr>
          <w:rFonts w:ascii="Times New Roman" w:hAnsi="Times New Roman"/>
          <w:bCs/>
        </w:rPr>
      </w:pPr>
    </w:p>
    <w:p w:rsidR="00E8340D" w:rsidRDefault="00E8340D" w:rsidP="00D04550">
      <w:pPr>
        <w:rPr>
          <w:rFonts w:ascii="Times New Roman" w:hAnsi="Times New Roman"/>
          <w:bCs/>
        </w:rPr>
      </w:pPr>
      <w:r w:rsidRPr="00482B31">
        <w:rPr>
          <w:rFonts w:ascii="Times New Roman" w:hAnsi="Times New Roman"/>
          <w:bCs/>
        </w:rPr>
        <w:t>Tal tarefa exige constante sinergia com instâncias governamentais nas três esferas e setor privado. Desta forma, as demandas são identificadas, analisadas e priorizadas, surgindo, assim, um conjunto de propostas que poderão compor o portfólio de programas e projetos da Companhia.</w:t>
      </w:r>
    </w:p>
    <w:p w:rsidR="003B3035" w:rsidRPr="00482B31" w:rsidRDefault="003B3035" w:rsidP="00D04550">
      <w:pPr>
        <w:rPr>
          <w:rFonts w:ascii="Times New Roman" w:hAnsi="Times New Roman"/>
          <w:bCs/>
        </w:rPr>
      </w:pPr>
    </w:p>
    <w:p w:rsidR="00E8340D" w:rsidRDefault="00E8340D" w:rsidP="00D04550">
      <w:pPr>
        <w:rPr>
          <w:rFonts w:ascii="Times New Roman" w:hAnsi="Times New Roman"/>
          <w:bCs/>
        </w:rPr>
      </w:pPr>
      <w:r w:rsidRPr="00482B31">
        <w:rPr>
          <w:rFonts w:ascii="Times New Roman" w:hAnsi="Times New Roman"/>
          <w:bCs/>
        </w:rPr>
        <w:t xml:space="preserve">Deste modo, o adequado direcionamento estratégico da </w:t>
      </w:r>
      <w:r w:rsidR="007B7BD6" w:rsidRPr="00482B31">
        <w:rPr>
          <w:rFonts w:ascii="Times New Roman" w:hAnsi="Times New Roman"/>
          <w:bCs/>
        </w:rPr>
        <w:t>Codevasf</w:t>
      </w:r>
      <w:r w:rsidRPr="00482B31">
        <w:rPr>
          <w:rFonts w:ascii="Times New Roman" w:hAnsi="Times New Roman"/>
          <w:bCs/>
        </w:rPr>
        <w:t xml:space="preserve"> pode levá-la a aproveitar oportunidades, não só de ampliar como também de fortalecer a execução das estratégias de desenvolvimento regional adotadas pelo Governo Federal, impulsionada pela captação de recursos orçamentários que venham a contribuir com a missão estratégica da </w:t>
      </w:r>
      <w:r w:rsidR="00DC2157" w:rsidRPr="00482B31">
        <w:rPr>
          <w:rFonts w:ascii="Times New Roman" w:hAnsi="Times New Roman"/>
          <w:bCs/>
        </w:rPr>
        <w:t>Companhia</w:t>
      </w:r>
      <w:r w:rsidRPr="00482B31">
        <w:rPr>
          <w:rFonts w:ascii="Times New Roman" w:hAnsi="Times New Roman"/>
          <w:bCs/>
        </w:rPr>
        <w:t>.</w:t>
      </w:r>
    </w:p>
    <w:p w:rsidR="003B3035" w:rsidRPr="00482B31" w:rsidRDefault="003B3035" w:rsidP="00D04550">
      <w:pPr>
        <w:rPr>
          <w:rFonts w:ascii="Times New Roman" w:hAnsi="Times New Roman"/>
          <w:bCs/>
        </w:rPr>
      </w:pPr>
    </w:p>
    <w:p w:rsidR="006E30A4" w:rsidRPr="00482B31" w:rsidRDefault="00EB7218" w:rsidP="00D04550">
      <w:pPr>
        <w:rPr>
          <w:rFonts w:ascii="Times New Roman" w:hAnsi="Times New Roman"/>
          <w:bCs/>
        </w:rPr>
      </w:pPr>
      <w:r w:rsidRPr="00482B31">
        <w:rPr>
          <w:rFonts w:ascii="Times New Roman" w:hAnsi="Times New Roman"/>
          <w:bCs/>
        </w:rPr>
        <w:t xml:space="preserve">Outra força que tem impactado significativamente a estratégia organizacional é oriunda do Congresso Nacional. A </w:t>
      </w:r>
      <w:r w:rsidR="007B7BD6" w:rsidRPr="00482B31">
        <w:rPr>
          <w:rFonts w:ascii="Times New Roman" w:hAnsi="Times New Roman"/>
          <w:bCs/>
        </w:rPr>
        <w:t>Codevasf</w:t>
      </w:r>
      <w:r w:rsidRPr="00482B31">
        <w:rPr>
          <w:rFonts w:ascii="Times New Roman" w:hAnsi="Times New Roman"/>
          <w:bCs/>
        </w:rPr>
        <w:t xml:space="preserve"> tem ciência que é preciso aproveitar as oportunidades relacionadas a fatores políticos, como o orçamento das emendas parlamentares, que podem viabilizar recursos orçamentários para as ações em favor do desenvolvimento regional, do mesmo modo busca apoio político das comissões ligadas ao setor, que podem alavancar ações e promover regulamentações de interesse da Companhia.</w:t>
      </w:r>
    </w:p>
    <w:p w:rsidR="00EB7218" w:rsidRPr="00482B31" w:rsidRDefault="00EB7218" w:rsidP="00D04550">
      <w:pPr>
        <w:rPr>
          <w:rFonts w:ascii="Times New Roman" w:hAnsi="Times New Roman"/>
          <w:bCs/>
        </w:rPr>
      </w:pPr>
    </w:p>
    <w:p w:rsidR="007E39EF" w:rsidRPr="00482B31" w:rsidRDefault="007E39EF" w:rsidP="00D04550">
      <w:pPr>
        <w:rPr>
          <w:rFonts w:ascii="Times New Roman" w:hAnsi="Times New Roman"/>
          <w:bCs/>
        </w:rPr>
      </w:pPr>
    </w:p>
    <w:p w:rsidR="00EB7218" w:rsidRPr="00482B31" w:rsidRDefault="00EB7218" w:rsidP="00EB7218">
      <w:pPr>
        <w:pStyle w:val="Textbody"/>
        <w:spacing w:after="0"/>
        <w:jc w:val="both"/>
        <w:rPr>
          <w:rFonts w:eastAsia="Calibri" w:cs="Times New Roman"/>
          <w:b/>
          <w:bCs/>
        </w:rPr>
      </w:pPr>
      <w:r w:rsidRPr="00482B31">
        <w:rPr>
          <w:rFonts w:eastAsia="Calibri" w:cs="Times New Roman"/>
          <w:b/>
          <w:bCs/>
        </w:rPr>
        <w:t xml:space="preserve">3. EXECUÇÃO ORÇAMENTÁRIA E PREVISÃO DE DEMANDAS PARLAMENTARES </w:t>
      </w:r>
    </w:p>
    <w:p w:rsidR="00EB7218" w:rsidRPr="00482B31" w:rsidRDefault="00EB7218" w:rsidP="00EB7218">
      <w:pPr>
        <w:rPr>
          <w:rFonts w:ascii="Times New Roman" w:hAnsi="Times New Roman"/>
          <w:bCs/>
        </w:rPr>
      </w:pPr>
    </w:p>
    <w:p w:rsidR="00CC7764" w:rsidRPr="00F309BB" w:rsidRDefault="00394AD1" w:rsidP="00D04550">
      <w:pPr>
        <w:rPr>
          <w:rFonts w:ascii="Times New Roman" w:hAnsi="Times New Roman"/>
        </w:rPr>
      </w:pPr>
      <w:r w:rsidRPr="00635ACA">
        <w:rPr>
          <w:rFonts w:ascii="Times New Roman" w:hAnsi="Times New Roman"/>
          <w:bCs/>
        </w:rPr>
        <w:t>No ano de 202</w:t>
      </w:r>
      <w:r w:rsidR="00635ACA" w:rsidRPr="00635ACA">
        <w:rPr>
          <w:rFonts w:ascii="Times New Roman" w:hAnsi="Times New Roman"/>
          <w:bCs/>
        </w:rPr>
        <w:t>3</w:t>
      </w:r>
      <w:r w:rsidR="0009240C">
        <w:rPr>
          <w:rFonts w:ascii="Times New Roman" w:hAnsi="Times New Roman"/>
          <w:bCs/>
        </w:rPr>
        <w:t>,</w:t>
      </w:r>
      <w:r w:rsidR="00EB7218" w:rsidRPr="00635ACA">
        <w:rPr>
          <w:rFonts w:ascii="Times New Roman" w:hAnsi="Times New Roman"/>
          <w:bCs/>
        </w:rPr>
        <w:t xml:space="preserve"> para a 2ª Superintendência Regional da </w:t>
      </w:r>
      <w:r w:rsidR="007B7BD6" w:rsidRPr="00635ACA">
        <w:rPr>
          <w:rFonts w:ascii="Times New Roman" w:hAnsi="Times New Roman"/>
          <w:bCs/>
        </w:rPr>
        <w:t>Codevasf</w:t>
      </w:r>
      <w:r w:rsidR="00EB7218" w:rsidRPr="00635ACA">
        <w:rPr>
          <w:rFonts w:ascii="Times New Roman" w:hAnsi="Times New Roman"/>
          <w:bCs/>
        </w:rPr>
        <w:t xml:space="preserve"> foi </w:t>
      </w:r>
      <w:r w:rsidRPr="00635ACA">
        <w:rPr>
          <w:rFonts w:ascii="Times New Roman" w:hAnsi="Times New Roman"/>
          <w:bCs/>
        </w:rPr>
        <w:t>estimado</w:t>
      </w:r>
      <w:r w:rsidR="00EB7218" w:rsidRPr="00635ACA">
        <w:rPr>
          <w:rFonts w:ascii="Times New Roman" w:hAnsi="Times New Roman"/>
          <w:bCs/>
        </w:rPr>
        <w:t xml:space="preserve"> um orçamento </w:t>
      </w:r>
      <w:r w:rsidRPr="00635ACA">
        <w:rPr>
          <w:rFonts w:ascii="Times New Roman" w:hAnsi="Times New Roman"/>
          <w:bCs/>
        </w:rPr>
        <w:t xml:space="preserve">total </w:t>
      </w:r>
      <w:r w:rsidR="00EB7218" w:rsidRPr="00635ACA">
        <w:rPr>
          <w:rFonts w:ascii="Times New Roman" w:hAnsi="Times New Roman"/>
          <w:bCs/>
        </w:rPr>
        <w:t xml:space="preserve">de </w:t>
      </w:r>
      <w:r w:rsidR="00653E7F" w:rsidRPr="004E0FBF">
        <w:rPr>
          <w:rFonts w:ascii="Times New Roman" w:hAnsi="Times New Roman"/>
          <w:b/>
        </w:rPr>
        <w:t xml:space="preserve">R$ 79.905.117,50 </w:t>
      </w:r>
      <w:r w:rsidR="00653E7F" w:rsidRPr="00DC3732">
        <w:rPr>
          <w:rFonts w:ascii="Times New Roman" w:hAnsi="Times New Roman"/>
        </w:rPr>
        <w:t>(setenta e nove milhões, novecentos e cinco mil, cento e dezessete reais e cinquenta centavos)</w:t>
      </w:r>
      <w:r w:rsidR="00EB7218" w:rsidRPr="00DC3732">
        <w:rPr>
          <w:rFonts w:ascii="Times New Roman" w:hAnsi="Times New Roman"/>
          <w:bCs/>
        </w:rPr>
        <w:t>,</w:t>
      </w:r>
      <w:r w:rsidR="00EB7218" w:rsidRPr="00635ACA">
        <w:rPr>
          <w:rFonts w:ascii="Times New Roman" w:hAnsi="Times New Roman"/>
          <w:bCs/>
        </w:rPr>
        <w:t xml:space="preserve"> </w:t>
      </w:r>
      <w:r w:rsidR="004B19CB">
        <w:rPr>
          <w:rFonts w:ascii="Times New Roman" w:hAnsi="Times New Roman"/>
          <w:bCs/>
        </w:rPr>
        <w:t xml:space="preserve">de acordo com informações passadas pela 2ª/GRG, </w:t>
      </w:r>
      <w:r w:rsidR="00EB7218" w:rsidRPr="00635ACA">
        <w:rPr>
          <w:rFonts w:ascii="Times New Roman" w:hAnsi="Times New Roman"/>
          <w:bCs/>
        </w:rPr>
        <w:t>oriundo</w:t>
      </w:r>
      <w:r w:rsidRPr="00635ACA">
        <w:rPr>
          <w:rFonts w:ascii="Times New Roman" w:hAnsi="Times New Roman"/>
          <w:bCs/>
        </w:rPr>
        <w:t>s</w:t>
      </w:r>
      <w:r w:rsidR="00EB7218" w:rsidRPr="00635ACA">
        <w:rPr>
          <w:rFonts w:ascii="Times New Roman" w:hAnsi="Times New Roman"/>
          <w:bCs/>
        </w:rPr>
        <w:t xml:space="preserve"> de emendas parlamentares</w:t>
      </w:r>
      <w:r w:rsidRPr="00635ACA">
        <w:rPr>
          <w:rFonts w:ascii="Times New Roman" w:hAnsi="Times New Roman"/>
          <w:bCs/>
        </w:rPr>
        <w:t xml:space="preserve"> impositivas</w:t>
      </w:r>
      <w:r w:rsidR="00EB7218" w:rsidRPr="00635ACA">
        <w:rPr>
          <w:rFonts w:ascii="Times New Roman" w:hAnsi="Times New Roman"/>
          <w:bCs/>
        </w:rPr>
        <w:t>, para atender diversas demandas, dentre elas a aquisição de máquinas, equipamentos, veículos e outras ações</w:t>
      </w:r>
      <w:r w:rsidR="00C709CA" w:rsidRPr="00635ACA">
        <w:rPr>
          <w:rFonts w:ascii="Times New Roman" w:hAnsi="Times New Roman"/>
          <w:bCs/>
        </w:rPr>
        <w:t>.</w:t>
      </w:r>
      <w:r w:rsidR="00FF4E2E">
        <w:rPr>
          <w:rFonts w:ascii="Times New Roman" w:hAnsi="Times New Roman"/>
          <w:bCs/>
        </w:rPr>
        <w:t xml:space="preserve"> </w:t>
      </w:r>
      <w:r w:rsidR="00CC7764" w:rsidRPr="00635ACA">
        <w:rPr>
          <w:rFonts w:ascii="Times New Roman" w:hAnsi="Times New Roman"/>
        </w:rPr>
        <w:t xml:space="preserve">Com base no orçamento alocado na </w:t>
      </w:r>
      <w:r w:rsidR="007B7BD6" w:rsidRPr="00635ACA">
        <w:rPr>
          <w:rFonts w:ascii="Times New Roman" w:hAnsi="Times New Roman"/>
        </w:rPr>
        <w:t>Codevasf</w:t>
      </w:r>
      <w:r w:rsidR="00935906" w:rsidRPr="00635ACA">
        <w:rPr>
          <w:rFonts w:ascii="Times New Roman" w:hAnsi="Times New Roman"/>
        </w:rPr>
        <w:t xml:space="preserve"> – </w:t>
      </w:r>
      <w:r w:rsidR="00CC7764" w:rsidRPr="00635ACA">
        <w:rPr>
          <w:rFonts w:ascii="Times New Roman" w:hAnsi="Times New Roman"/>
        </w:rPr>
        <w:t xml:space="preserve">2ª SR nesses últimos anos, e considerando o valor </w:t>
      </w:r>
      <w:r w:rsidR="00635ACA">
        <w:rPr>
          <w:rFonts w:ascii="Times New Roman" w:hAnsi="Times New Roman"/>
        </w:rPr>
        <w:t>para o ano de 2023</w:t>
      </w:r>
      <w:r w:rsidR="00CC7764" w:rsidRPr="00635ACA">
        <w:rPr>
          <w:rFonts w:ascii="Times New Roman" w:hAnsi="Times New Roman"/>
        </w:rPr>
        <w:t>, é possível traçar a estratégia para execução das demandas de 202</w:t>
      </w:r>
      <w:r w:rsidR="00380282">
        <w:rPr>
          <w:rFonts w:ascii="Times New Roman" w:hAnsi="Times New Roman"/>
        </w:rPr>
        <w:t>3</w:t>
      </w:r>
      <w:r w:rsidR="00CC7764" w:rsidRPr="00635ACA">
        <w:rPr>
          <w:rFonts w:ascii="Times New Roman" w:hAnsi="Times New Roman"/>
        </w:rPr>
        <w:t>, visando o atendimento de demandas parlamentares. Desses recursos, parte são oriundos de emendas de bancadas e individuais (impositivas) de parlamentas e são indicados na maioria dos casos, exclusivamen</w:t>
      </w:r>
      <w:r w:rsidR="00025F71" w:rsidRPr="00635ACA">
        <w:rPr>
          <w:rFonts w:ascii="Times New Roman" w:hAnsi="Times New Roman"/>
        </w:rPr>
        <w:t xml:space="preserve">te, para </w:t>
      </w:r>
      <w:r w:rsidR="00025F71" w:rsidRPr="00635ACA">
        <w:rPr>
          <w:rFonts w:ascii="Times New Roman" w:hAnsi="Times New Roman"/>
        </w:rPr>
        <w:lastRenderedPageBreak/>
        <w:t xml:space="preserve">aquisição de máquinas, equipamentos </w:t>
      </w:r>
      <w:r w:rsidR="00950DCE" w:rsidRPr="00635ACA">
        <w:rPr>
          <w:rFonts w:ascii="Times New Roman" w:hAnsi="Times New Roman"/>
        </w:rPr>
        <w:t xml:space="preserve">e materiais </w:t>
      </w:r>
      <w:r w:rsidR="00CC7764" w:rsidRPr="00635ACA">
        <w:rPr>
          <w:rFonts w:ascii="Times New Roman" w:hAnsi="Times New Roman"/>
        </w:rPr>
        <w:t>do segmento “Economia Sustent</w:t>
      </w:r>
      <w:r w:rsidR="001B6091" w:rsidRPr="00635ACA">
        <w:rPr>
          <w:rFonts w:ascii="Times New Roman" w:hAnsi="Times New Roman"/>
        </w:rPr>
        <w:t>ável”</w:t>
      </w:r>
      <w:r w:rsidR="00935906" w:rsidRPr="00635ACA">
        <w:rPr>
          <w:rFonts w:ascii="Times New Roman" w:hAnsi="Times New Roman"/>
        </w:rPr>
        <w:t>.</w:t>
      </w:r>
      <w:r w:rsidR="00E42CF4">
        <w:rPr>
          <w:rFonts w:ascii="Times New Roman" w:hAnsi="Times New Roman"/>
        </w:rPr>
        <w:t xml:space="preserve"> </w:t>
      </w:r>
      <w:r w:rsidR="00AB6C0B" w:rsidRPr="00F309BB">
        <w:rPr>
          <w:rFonts w:ascii="Times New Roman" w:hAnsi="Times New Roman"/>
        </w:rPr>
        <w:t xml:space="preserve">Merece destaque as demandas por equipamentos para o fortalecimento de atividades como </w:t>
      </w:r>
      <w:r w:rsidR="00380282">
        <w:rPr>
          <w:rFonts w:ascii="Times New Roman" w:hAnsi="Times New Roman"/>
        </w:rPr>
        <w:t>a bovinocultura leiteir</w:t>
      </w:r>
      <w:r w:rsidR="00F309BB" w:rsidRPr="00F309BB">
        <w:rPr>
          <w:rFonts w:ascii="Times New Roman" w:hAnsi="Times New Roman"/>
        </w:rPr>
        <w:t>a</w:t>
      </w:r>
      <w:r w:rsidR="00D57E00">
        <w:rPr>
          <w:rFonts w:ascii="Times New Roman" w:hAnsi="Times New Roman"/>
        </w:rPr>
        <w:t xml:space="preserve">, dentre outras, considerando que praticamente </w:t>
      </w:r>
      <w:r w:rsidR="00113239">
        <w:rPr>
          <w:rFonts w:ascii="Times New Roman" w:hAnsi="Times New Roman"/>
        </w:rPr>
        <w:t xml:space="preserve">em </w:t>
      </w:r>
      <w:r w:rsidR="001C1787">
        <w:rPr>
          <w:rFonts w:ascii="Times New Roman" w:hAnsi="Times New Roman"/>
        </w:rPr>
        <w:t>todas as microrregiões do estado</w:t>
      </w:r>
      <w:r w:rsidR="00D57E00">
        <w:rPr>
          <w:rFonts w:ascii="Times New Roman" w:hAnsi="Times New Roman"/>
        </w:rPr>
        <w:t xml:space="preserve"> da Bahia </w:t>
      </w:r>
      <w:r w:rsidR="00113239">
        <w:rPr>
          <w:rFonts w:ascii="Times New Roman" w:hAnsi="Times New Roman"/>
        </w:rPr>
        <w:t>existem indústrias de laticínios.</w:t>
      </w:r>
    </w:p>
    <w:p w:rsidR="007E39EF" w:rsidRDefault="007E39EF" w:rsidP="00D04550">
      <w:pPr>
        <w:rPr>
          <w:rFonts w:ascii="Times New Roman" w:hAnsi="Times New Roman"/>
          <w:color w:val="FF0000"/>
        </w:rPr>
      </w:pPr>
    </w:p>
    <w:p w:rsidR="00E42CF4" w:rsidRPr="00721A2F" w:rsidRDefault="00E42CF4" w:rsidP="00D04550">
      <w:pPr>
        <w:rPr>
          <w:rFonts w:ascii="Times New Roman" w:hAnsi="Times New Roman"/>
          <w:color w:val="FF0000"/>
        </w:rPr>
      </w:pPr>
    </w:p>
    <w:p w:rsidR="00CC7764" w:rsidRPr="00D904E0" w:rsidRDefault="00CC7764" w:rsidP="00CC7764">
      <w:pPr>
        <w:pStyle w:val="Textbody"/>
        <w:spacing w:after="0"/>
        <w:jc w:val="both"/>
        <w:rPr>
          <w:rFonts w:eastAsia="Calibri" w:cs="Times New Roman"/>
          <w:b/>
          <w:bCs/>
        </w:rPr>
      </w:pPr>
      <w:r w:rsidRPr="00D904E0">
        <w:rPr>
          <w:rFonts w:eastAsia="Calibri" w:cs="Times New Roman"/>
          <w:b/>
          <w:bCs/>
        </w:rPr>
        <w:t xml:space="preserve">4. FINALIDADE – NECESSIDADE DA CONTRATAÇÃO </w:t>
      </w:r>
    </w:p>
    <w:p w:rsidR="00CC7764" w:rsidRPr="00D904E0" w:rsidRDefault="00CC7764" w:rsidP="00CC7764">
      <w:pPr>
        <w:rPr>
          <w:rFonts w:ascii="Times New Roman" w:hAnsi="Times New Roman"/>
          <w:bCs/>
        </w:rPr>
      </w:pPr>
    </w:p>
    <w:p w:rsidR="004E66DF" w:rsidRDefault="004E66DF" w:rsidP="00D04550">
      <w:pPr>
        <w:rPr>
          <w:rFonts w:ascii="Times New Roman" w:hAnsi="Times New Roman"/>
        </w:rPr>
      </w:pPr>
      <w:r>
        <w:rPr>
          <w:rFonts w:ascii="Times New Roman" w:hAnsi="Times New Roman"/>
        </w:rPr>
        <w:t>Segundo dados da Organização das Nações Unidas para a Alimentação e a Agricultura – FAO, em 2017 o Brasil se tornou o terceiro maior produtor mundial de leite, atingindo uma produção de</w:t>
      </w:r>
      <w:r w:rsidR="0071618B">
        <w:rPr>
          <w:rFonts w:ascii="Times New Roman" w:hAnsi="Times New Roman"/>
        </w:rPr>
        <w:t xml:space="preserve"> 35 bilhões de litros por ano. A coleta e</w:t>
      </w:r>
      <w:r>
        <w:rPr>
          <w:rFonts w:ascii="Times New Roman" w:hAnsi="Times New Roman"/>
        </w:rPr>
        <w:t xml:space="preserve"> armazenamento do leite é etapa crucial </w:t>
      </w:r>
      <w:r w:rsidR="0071618B">
        <w:rPr>
          <w:rFonts w:ascii="Times New Roman" w:hAnsi="Times New Roman"/>
        </w:rPr>
        <w:t>na bovinocultura leiteira</w:t>
      </w:r>
      <w:r w:rsidR="00D1257C">
        <w:rPr>
          <w:rFonts w:ascii="Times New Roman" w:hAnsi="Times New Roman"/>
        </w:rPr>
        <w:t>, pois</w:t>
      </w:r>
      <w:r>
        <w:rPr>
          <w:rFonts w:ascii="Times New Roman" w:hAnsi="Times New Roman"/>
        </w:rPr>
        <w:t xml:space="preserve">, a adoção de procedimentos inadequados </w:t>
      </w:r>
      <w:r w:rsidR="003228AC">
        <w:rPr>
          <w:rFonts w:ascii="Times New Roman" w:hAnsi="Times New Roman"/>
        </w:rPr>
        <w:t xml:space="preserve">leva à formação de biofilme, que </w:t>
      </w:r>
      <w:r w:rsidR="00D1257C">
        <w:rPr>
          <w:rFonts w:ascii="Times New Roman" w:hAnsi="Times New Roman"/>
        </w:rPr>
        <w:t>se trata</w:t>
      </w:r>
      <w:r w:rsidR="003228AC">
        <w:rPr>
          <w:rFonts w:ascii="Times New Roman" w:hAnsi="Times New Roman"/>
        </w:rPr>
        <w:t xml:space="preserve"> de uma película bacteriana, de difícil remoção, formada na superfície interna dos tanques de armazenamento, que provoca a contaminação do leite tornando-o impróprio para o beneficiamento industrial e consumo humano. Estima-se que 5% do leite cru </w:t>
      </w:r>
      <w:r w:rsidR="0071618B">
        <w:rPr>
          <w:rFonts w:ascii="Times New Roman" w:hAnsi="Times New Roman"/>
        </w:rPr>
        <w:t xml:space="preserve">produzido no país </w:t>
      </w:r>
      <w:r w:rsidR="003228AC">
        <w:rPr>
          <w:rFonts w:ascii="Times New Roman" w:hAnsi="Times New Roman"/>
        </w:rPr>
        <w:t xml:space="preserve">é </w:t>
      </w:r>
      <w:proofErr w:type="gramStart"/>
      <w:r w:rsidR="003228AC">
        <w:rPr>
          <w:rFonts w:ascii="Times New Roman" w:hAnsi="Times New Roman"/>
        </w:rPr>
        <w:t>perdido</w:t>
      </w:r>
      <w:proofErr w:type="gramEnd"/>
      <w:r w:rsidR="003228AC">
        <w:rPr>
          <w:rFonts w:ascii="Times New Roman" w:hAnsi="Times New Roman"/>
        </w:rPr>
        <w:t xml:space="preserve"> por higienização inadequada dos recipientes de armazenamento (DUTRA, 2019).</w:t>
      </w:r>
    </w:p>
    <w:p w:rsidR="004E66DF" w:rsidRDefault="004E66DF" w:rsidP="00D04550">
      <w:pPr>
        <w:rPr>
          <w:rFonts w:ascii="Times New Roman" w:hAnsi="Times New Roman"/>
        </w:rPr>
      </w:pPr>
    </w:p>
    <w:p w:rsidR="00116F1D" w:rsidRDefault="00D965F5" w:rsidP="00D04550">
      <w:pPr>
        <w:rPr>
          <w:rFonts w:ascii="Times New Roman" w:hAnsi="Times New Roman"/>
        </w:rPr>
      </w:pPr>
      <w:r>
        <w:rPr>
          <w:rFonts w:ascii="Times New Roman" w:hAnsi="Times New Roman"/>
        </w:rPr>
        <w:t xml:space="preserve">De acordo com a Federação da Agricultura e Pecuária da Bahia – FAEB, em 2016 </w:t>
      </w:r>
      <w:r w:rsidR="0008117B">
        <w:rPr>
          <w:rFonts w:ascii="Times New Roman" w:hAnsi="Times New Roman"/>
        </w:rPr>
        <w:t xml:space="preserve">havia um déficit de </w:t>
      </w:r>
      <w:proofErr w:type="gramStart"/>
      <w:r w:rsidR="0008117B">
        <w:rPr>
          <w:rFonts w:ascii="Times New Roman" w:hAnsi="Times New Roman"/>
        </w:rPr>
        <w:t>1,3 bilhão</w:t>
      </w:r>
      <w:proofErr w:type="gramEnd"/>
      <w:r w:rsidR="0008117B">
        <w:rPr>
          <w:rFonts w:ascii="Times New Roman" w:hAnsi="Times New Roman"/>
        </w:rPr>
        <w:t xml:space="preserve"> de litros de leite para consumo interno da população no estado</w:t>
      </w:r>
      <w:r w:rsidR="006165C8">
        <w:rPr>
          <w:rFonts w:ascii="Times New Roman" w:hAnsi="Times New Roman"/>
        </w:rPr>
        <w:t xml:space="preserve"> da Bahia</w:t>
      </w:r>
      <w:r w:rsidR="0008117B">
        <w:rPr>
          <w:rFonts w:ascii="Times New Roman" w:hAnsi="Times New Roman"/>
        </w:rPr>
        <w:t>, que produziu 858 milhões de litros.</w:t>
      </w:r>
      <w:r>
        <w:rPr>
          <w:rFonts w:ascii="Times New Roman" w:hAnsi="Times New Roman"/>
        </w:rPr>
        <w:t xml:space="preserve"> </w:t>
      </w:r>
      <w:r w:rsidR="00E900D0">
        <w:rPr>
          <w:rFonts w:ascii="Times New Roman" w:hAnsi="Times New Roman"/>
        </w:rPr>
        <w:t>Já em 2019, c</w:t>
      </w:r>
      <w:r w:rsidR="00E14C22">
        <w:rPr>
          <w:rFonts w:ascii="Times New Roman" w:hAnsi="Times New Roman"/>
        </w:rPr>
        <w:t>om os incentivos ocorridos à pecuária leiteira, segundo informações do Instituto Brasileiro de Geografia e Estatística</w:t>
      </w:r>
      <w:r w:rsidR="00E900D0">
        <w:rPr>
          <w:rFonts w:ascii="Times New Roman" w:hAnsi="Times New Roman"/>
        </w:rPr>
        <w:t xml:space="preserve"> (</w:t>
      </w:r>
      <w:r w:rsidR="00E14C22">
        <w:rPr>
          <w:rFonts w:ascii="Times New Roman" w:hAnsi="Times New Roman"/>
        </w:rPr>
        <w:t>IBGE,</w:t>
      </w:r>
      <w:r w:rsidR="00E900D0">
        <w:rPr>
          <w:rFonts w:ascii="Times New Roman" w:hAnsi="Times New Roman"/>
        </w:rPr>
        <w:t xml:space="preserve"> 2019)</w:t>
      </w:r>
      <w:r w:rsidR="00E14C22">
        <w:rPr>
          <w:rFonts w:ascii="Times New Roman" w:hAnsi="Times New Roman"/>
        </w:rPr>
        <w:t xml:space="preserve"> o estado respondeu por 3,07% da produção nacional de leite, com 1.068.451.000 litros, ocupando a 8ª posição no cenário nacional.</w:t>
      </w:r>
      <w:r w:rsidR="00130EE4">
        <w:rPr>
          <w:rFonts w:ascii="Times New Roman" w:hAnsi="Times New Roman"/>
        </w:rPr>
        <w:t xml:space="preserve"> Com o avanço da atividade, muitos pecuaristas do estado </w:t>
      </w:r>
      <w:r w:rsidR="00EA2869">
        <w:rPr>
          <w:rFonts w:ascii="Times New Roman" w:hAnsi="Times New Roman"/>
        </w:rPr>
        <w:t>estão investindo</w:t>
      </w:r>
      <w:r w:rsidR="00130EE4">
        <w:rPr>
          <w:rFonts w:ascii="Times New Roman" w:hAnsi="Times New Roman"/>
        </w:rPr>
        <w:t xml:space="preserve"> na produção de leite e, equipamentos como ordenhadeiras mecânicas e tanques de resfriamento de leite tem dado suporte para ampliação da produção, além do atendimento dos protocolos das indústrias de laticínios.</w:t>
      </w:r>
      <w:r w:rsidR="00A64C0D">
        <w:rPr>
          <w:rFonts w:ascii="Times New Roman" w:hAnsi="Times New Roman"/>
        </w:rPr>
        <w:t xml:space="preserve"> Em 2020, a produção baiana de leite inspecionado foi de 568 milhões de litros, passando para 595 milhões no ano 2021, representando um acréscimo de 4,75%.</w:t>
      </w:r>
    </w:p>
    <w:p w:rsidR="00987136" w:rsidRDefault="00987136" w:rsidP="00D04550">
      <w:pPr>
        <w:rPr>
          <w:rFonts w:ascii="Times New Roman" w:hAnsi="Times New Roman"/>
        </w:rPr>
      </w:pPr>
    </w:p>
    <w:p w:rsidR="00D965F5" w:rsidRDefault="00987136" w:rsidP="00D04550">
      <w:pPr>
        <w:rPr>
          <w:rFonts w:ascii="Times New Roman" w:hAnsi="Times New Roman"/>
        </w:rPr>
      </w:pPr>
      <w:r>
        <w:rPr>
          <w:rFonts w:ascii="Times New Roman" w:hAnsi="Times New Roman"/>
        </w:rPr>
        <w:t xml:space="preserve">A adoção da ordenha mecânica tem como vantagens: redução do tempo de ordenha; </w:t>
      </w:r>
      <w:r w:rsidR="000E27B6">
        <w:rPr>
          <w:rFonts w:ascii="Times New Roman" w:hAnsi="Times New Roman"/>
        </w:rPr>
        <w:t>redução da demanda por m</w:t>
      </w:r>
      <w:r>
        <w:rPr>
          <w:rFonts w:ascii="Times New Roman" w:hAnsi="Times New Roman"/>
        </w:rPr>
        <w:t>ão-de-obra;</w:t>
      </w:r>
      <w:r w:rsidR="000E27B6">
        <w:rPr>
          <w:rFonts w:ascii="Times New Roman" w:hAnsi="Times New Roman"/>
        </w:rPr>
        <w:t xml:space="preserve"> não estressa o animal; permite a ordenha de mais de um animal por vez; facilita a operação e manejo dos animais; e permite uma rotina de ordenha com horários fixos (FUNDAÇÃO ROGE, 2022).</w:t>
      </w:r>
    </w:p>
    <w:p w:rsidR="000E27B6" w:rsidRDefault="000E27B6" w:rsidP="00D04550">
      <w:pPr>
        <w:rPr>
          <w:rFonts w:ascii="Times New Roman" w:hAnsi="Times New Roman"/>
        </w:rPr>
      </w:pPr>
    </w:p>
    <w:p w:rsidR="000E27B6" w:rsidRDefault="000E27B6" w:rsidP="00D04550">
      <w:pPr>
        <w:rPr>
          <w:rFonts w:ascii="Times New Roman" w:hAnsi="Times New Roman"/>
        </w:rPr>
      </w:pPr>
      <w:r>
        <w:rPr>
          <w:rFonts w:ascii="Times New Roman" w:hAnsi="Times New Roman"/>
        </w:rPr>
        <w:t>Os tanques de re</w:t>
      </w:r>
      <w:r w:rsidR="00015CD6">
        <w:rPr>
          <w:rFonts w:ascii="Times New Roman" w:hAnsi="Times New Roman"/>
        </w:rPr>
        <w:t>sfriamento de leite</w:t>
      </w:r>
      <w:r>
        <w:rPr>
          <w:rFonts w:ascii="Times New Roman" w:hAnsi="Times New Roman"/>
        </w:rPr>
        <w:t xml:space="preserve"> proporcionam algumas vantagens, tais como: permite horários de ordenha mais flexíveis; mantém os números de contagem de células somáticas (CCS) e contagem bacteriana total (CBT) nos padrões de normalidade; aumenta a rentabilidade e melhora a qualidade de vida do produtor de leite; evita a desqualificação do leite por acidez; inibe o crescimento de bactérias lácteas; aumenta os ganhos dos produtores com bonificação; melhora o padrão qualitativo do leite;</w:t>
      </w:r>
      <w:r w:rsidR="00015CD6">
        <w:rPr>
          <w:rFonts w:ascii="Times New Roman" w:hAnsi="Times New Roman"/>
        </w:rPr>
        <w:t xml:space="preserve"> melhora o sabor do leite; e reduz o valor do frete (OLIVEIRA, 2022).</w:t>
      </w:r>
    </w:p>
    <w:p w:rsidR="000E27B6" w:rsidRDefault="000E27B6" w:rsidP="00D04550">
      <w:pPr>
        <w:rPr>
          <w:rFonts w:ascii="Times New Roman" w:hAnsi="Times New Roman"/>
        </w:rPr>
      </w:pPr>
    </w:p>
    <w:p w:rsidR="000E60DF" w:rsidRDefault="00CC7764" w:rsidP="00D04550">
      <w:pPr>
        <w:rPr>
          <w:rFonts w:ascii="Times New Roman" w:hAnsi="Times New Roman"/>
        </w:rPr>
      </w:pPr>
      <w:r w:rsidRPr="00D904E0">
        <w:rPr>
          <w:rFonts w:ascii="Times New Roman" w:hAnsi="Times New Roman"/>
        </w:rPr>
        <w:t>A elaboração deste Estudo visa subsidiar a abertura de processo licitatório, na modalidade Pregão E</w:t>
      </w:r>
      <w:r w:rsidR="0039105B" w:rsidRPr="00D904E0">
        <w:rPr>
          <w:rFonts w:ascii="Times New Roman" w:hAnsi="Times New Roman"/>
        </w:rPr>
        <w:t xml:space="preserve">letrônico – </w:t>
      </w:r>
      <w:r w:rsidRPr="00D904E0">
        <w:rPr>
          <w:rFonts w:ascii="Times New Roman" w:hAnsi="Times New Roman"/>
        </w:rPr>
        <w:t>Sistema de Registro d</w:t>
      </w:r>
      <w:r w:rsidR="0039105B" w:rsidRPr="00D904E0">
        <w:rPr>
          <w:rFonts w:ascii="Times New Roman" w:hAnsi="Times New Roman"/>
        </w:rPr>
        <w:t>e Preços (PE/SRP), Menor Preço por Item</w:t>
      </w:r>
      <w:r w:rsidRPr="00D904E0">
        <w:rPr>
          <w:rFonts w:ascii="Times New Roman" w:hAnsi="Times New Roman"/>
        </w:rPr>
        <w:t>, visando à seleção de empresas para o</w:t>
      </w:r>
      <w:r w:rsidR="004F3F0A" w:rsidRPr="00D904E0">
        <w:rPr>
          <w:rFonts w:ascii="Times New Roman" w:hAnsi="Times New Roman"/>
        </w:rPr>
        <w:t xml:space="preserve"> fornecimento, carga, transporte e descarga de</w:t>
      </w:r>
      <w:r w:rsidR="00D904E0" w:rsidRPr="00D904E0">
        <w:rPr>
          <w:rFonts w:ascii="Times New Roman" w:hAnsi="Times New Roman"/>
        </w:rPr>
        <w:t xml:space="preserve"> ordenhadeiras portáteis e tanques de resfriamento de leite de 1.000 e 2.000 litros</w:t>
      </w:r>
      <w:r w:rsidR="004F3F0A" w:rsidRPr="00D904E0">
        <w:rPr>
          <w:rFonts w:ascii="Times New Roman" w:hAnsi="Times New Roman"/>
        </w:rPr>
        <w:t xml:space="preserve">, visando o atendimento de demandas </w:t>
      </w:r>
      <w:r w:rsidR="00D904E0" w:rsidRPr="00D904E0">
        <w:rPr>
          <w:rFonts w:ascii="Times New Roman" w:hAnsi="Times New Roman"/>
        </w:rPr>
        <w:t xml:space="preserve">de municípios </w:t>
      </w:r>
      <w:r w:rsidR="004F3F0A" w:rsidRPr="00D904E0">
        <w:rPr>
          <w:rFonts w:ascii="Times New Roman" w:hAnsi="Times New Roman"/>
        </w:rPr>
        <w:t xml:space="preserve">na área de atuação da </w:t>
      </w:r>
      <w:r w:rsidR="007B7BD6" w:rsidRPr="00D904E0">
        <w:rPr>
          <w:rFonts w:ascii="Times New Roman" w:hAnsi="Times New Roman"/>
        </w:rPr>
        <w:t>Codevasf</w:t>
      </w:r>
      <w:r w:rsidR="004F3F0A" w:rsidRPr="00D904E0">
        <w:rPr>
          <w:rFonts w:ascii="Times New Roman" w:hAnsi="Times New Roman"/>
        </w:rPr>
        <w:t>, no estado da Bahia, sob jurisdição da 2ª Superintendência Regional</w:t>
      </w:r>
      <w:r w:rsidR="00B32771">
        <w:rPr>
          <w:rFonts w:ascii="Times New Roman" w:hAnsi="Times New Roman"/>
        </w:rPr>
        <w:t>, objetivando o fortalecimento da bovinocultura leiteira no estado</w:t>
      </w:r>
      <w:r w:rsidR="004F3F0A" w:rsidRPr="00D904E0">
        <w:rPr>
          <w:rFonts w:ascii="Times New Roman" w:hAnsi="Times New Roman"/>
        </w:rPr>
        <w:t xml:space="preserve">. </w:t>
      </w:r>
      <w:r w:rsidRPr="00D904E0">
        <w:rPr>
          <w:rFonts w:ascii="Times New Roman" w:hAnsi="Times New Roman"/>
        </w:rPr>
        <w:t>Tal demanda originou-se a partir de recursos oriundos de parlamentares, previstos</w:t>
      </w:r>
      <w:r w:rsidR="00600B73">
        <w:rPr>
          <w:rFonts w:ascii="Times New Roman" w:hAnsi="Times New Roman"/>
        </w:rPr>
        <w:t xml:space="preserve"> </w:t>
      </w:r>
      <w:r w:rsidR="00600B73">
        <w:rPr>
          <w:rFonts w:ascii="Times New Roman" w:hAnsi="Times New Roman"/>
        </w:rPr>
        <w:lastRenderedPageBreak/>
        <w:t>para 2023</w:t>
      </w:r>
      <w:r w:rsidRPr="004B19CB">
        <w:rPr>
          <w:rFonts w:ascii="Times New Roman" w:hAnsi="Times New Roman"/>
        </w:rPr>
        <w:t>,</w:t>
      </w:r>
      <w:r w:rsidRPr="00D904E0">
        <w:rPr>
          <w:rFonts w:ascii="Times New Roman" w:hAnsi="Times New Roman"/>
        </w:rPr>
        <w:t xml:space="preserve"> destinados ao atendimento de políticas públicas voltadas para a solução das carências do semiárid</w:t>
      </w:r>
      <w:r w:rsidR="00025F71" w:rsidRPr="00D904E0">
        <w:rPr>
          <w:rFonts w:ascii="Times New Roman" w:hAnsi="Times New Roman"/>
        </w:rPr>
        <w:t>o nordestino e outras regiões</w:t>
      </w:r>
      <w:r w:rsidR="006857FC" w:rsidRPr="00D904E0">
        <w:rPr>
          <w:rFonts w:ascii="Times New Roman" w:hAnsi="Times New Roman"/>
        </w:rPr>
        <w:t xml:space="preserve"> que demandam atenção especial</w:t>
      </w:r>
      <w:r w:rsidR="00025F71" w:rsidRPr="00D904E0">
        <w:rPr>
          <w:rFonts w:ascii="Times New Roman" w:hAnsi="Times New Roman"/>
        </w:rPr>
        <w:t>. A</w:t>
      </w:r>
      <w:r w:rsidRPr="00D904E0">
        <w:rPr>
          <w:rFonts w:ascii="Times New Roman" w:hAnsi="Times New Roman"/>
        </w:rPr>
        <w:t xml:space="preserve">pesar de terem proporcionado </w:t>
      </w:r>
      <w:r w:rsidR="0039105B" w:rsidRPr="00D904E0">
        <w:rPr>
          <w:rFonts w:ascii="Times New Roman" w:hAnsi="Times New Roman"/>
        </w:rPr>
        <w:t>significativos</w:t>
      </w:r>
      <w:r w:rsidRPr="00D904E0">
        <w:rPr>
          <w:rFonts w:ascii="Times New Roman" w:hAnsi="Times New Roman"/>
        </w:rPr>
        <w:t xml:space="preserve"> progressos, ainda não conseguiram melhorar </w:t>
      </w:r>
      <w:r w:rsidR="0039105B" w:rsidRPr="00D904E0">
        <w:rPr>
          <w:rFonts w:ascii="Times New Roman" w:hAnsi="Times New Roman"/>
        </w:rPr>
        <w:t>de forma pujante</w:t>
      </w:r>
      <w:r w:rsidRPr="00D904E0">
        <w:rPr>
          <w:rFonts w:ascii="Times New Roman" w:hAnsi="Times New Roman"/>
        </w:rPr>
        <w:t xml:space="preserve"> os indicadores sociais da região, que se situam entre os mais baixos do país. Contudo, é possível dizer que hoje há um consenso entre políticos e </w:t>
      </w:r>
      <w:r w:rsidRPr="00D96099">
        <w:rPr>
          <w:rFonts w:ascii="Times New Roman" w:hAnsi="Times New Roman"/>
        </w:rPr>
        <w:t xml:space="preserve">administradores, partilhado por grande parte da população brasileira, quanto à urgência da adoção de medidas capazes de melhorar a qualidade de vida da população da região e de reduzir a escassez de estrutura principalmente das comunidades difusas no nordeste, sob a gestão da 2ª Superintendência Regional da </w:t>
      </w:r>
      <w:r w:rsidR="007B7BD6" w:rsidRPr="00D96099">
        <w:rPr>
          <w:rFonts w:ascii="Times New Roman" w:hAnsi="Times New Roman"/>
        </w:rPr>
        <w:t>Codevasf</w:t>
      </w:r>
      <w:r w:rsidR="006857FC" w:rsidRPr="00D96099">
        <w:rPr>
          <w:rFonts w:ascii="Times New Roman" w:hAnsi="Times New Roman"/>
        </w:rPr>
        <w:t>, estimulando a geração de ocupação e renda de forma sustentável</w:t>
      </w:r>
      <w:r w:rsidRPr="00D96099">
        <w:rPr>
          <w:rFonts w:ascii="Times New Roman" w:hAnsi="Times New Roman"/>
        </w:rPr>
        <w:t>.</w:t>
      </w:r>
    </w:p>
    <w:p w:rsidR="00613CB0" w:rsidRPr="00D96099" w:rsidRDefault="00613CB0" w:rsidP="00D04550">
      <w:pPr>
        <w:rPr>
          <w:rFonts w:ascii="Times New Roman" w:hAnsi="Times New Roman"/>
        </w:rPr>
      </w:pPr>
    </w:p>
    <w:p w:rsidR="00CC7764" w:rsidRDefault="00CC7764" w:rsidP="00D04550">
      <w:pPr>
        <w:rPr>
          <w:rFonts w:ascii="Times New Roman" w:hAnsi="Times New Roman"/>
        </w:rPr>
      </w:pPr>
      <w:r w:rsidRPr="00D96099">
        <w:rPr>
          <w:rFonts w:ascii="Times New Roman" w:hAnsi="Times New Roman"/>
        </w:rPr>
        <w:t xml:space="preserve">Na 2ª Superintendência Regional da </w:t>
      </w:r>
      <w:r w:rsidR="007B7BD6" w:rsidRPr="00D96099">
        <w:rPr>
          <w:rFonts w:ascii="Times New Roman" w:hAnsi="Times New Roman"/>
        </w:rPr>
        <w:t>Codevasf</w:t>
      </w:r>
      <w:r w:rsidRPr="00D96099">
        <w:rPr>
          <w:rFonts w:ascii="Times New Roman" w:hAnsi="Times New Roman"/>
        </w:rPr>
        <w:t xml:space="preserve">, todos os anos, vários parlamentares têm alocado recursos de emendas parlamentares para apoiar ações de estruturação de atividades produtivas, associações </w:t>
      </w:r>
      <w:r w:rsidR="002950AB" w:rsidRPr="00D96099">
        <w:rPr>
          <w:rFonts w:ascii="Times New Roman" w:hAnsi="Times New Roman"/>
        </w:rPr>
        <w:t xml:space="preserve">comunitárias </w:t>
      </w:r>
      <w:r w:rsidRPr="00D96099">
        <w:rPr>
          <w:rFonts w:ascii="Times New Roman" w:hAnsi="Times New Roman"/>
        </w:rPr>
        <w:t xml:space="preserve">e municípios, e outras ações voltadas ao desenvolvimento regional sustentável (pavimentação, perfuração de poços, construção de aguadas, </w:t>
      </w:r>
      <w:r w:rsidR="002950AB" w:rsidRPr="00D96099">
        <w:rPr>
          <w:rFonts w:ascii="Times New Roman" w:hAnsi="Times New Roman"/>
        </w:rPr>
        <w:t xml:space="preserve">terraceamentos em nível, </w:t>
      </w:r>
      <w:r w:rsidR="006B39D7" w:rsidRPr="00D96099">
        <w:rPr>
          <w:rFonts w:ascii="Times New Roman" w:hAnsi="Times New Roman"/>
        </w:rPr>
        <w:t xml:space="preserve">construção de barraginhas, </w:t>
      </w:r>
      <w:r w:rsidR="002A7074" w:rsidRPr="00D96099">
        <w:rPr>
          <w:rFonts w:ascii="Times New Roman" w:hAnsi="Times New Roman"/>
        </w:rPr>
        <w:t xml:space="preserve">transporte de insumos e produtos agropecuários, </w:t>
      </w:r>
      <w:r w:rsidR="00B22C55" w:rsidRPr="00D96099">
        <w:rPr>
          <w:rFonts w:ascii="Times New Roman" w:hAnsi="Times New Roman"/>
        </w:rPr>
        <w:t>aquisições de equipamentos</w:t>
      </w:r>
      <w:r w:rsidR="006857FC" w:rsidRPr="00D96099">
        <w:rPr>
          <w:rFonts w:ascii="Times New Roman" w:hAnsi="Times New Roman"/>
        </w:rPr>
        <w:t xml:space="preserve"> para atividades de inclusão produtiva</w:t>
      </w:r>
      <w:r w:rsidR="00B22C55" w:rsidRPr="00D96099">
        <w:rPr>
          <w:rFonts w:ascii="Times New Roman" w:hAnsi="Times New Roman"/>
        </w:rPr>
        <w:t xml:space="preserve">, </w:t>
      </w:r>
      <w:r w:rsidRPr="00D96099">
        <w:rPr>
          <w:rFonts w:ascii="Times New Roman" w:hAnsi="Times New Roman"/>
        </w:rPr>
        <w:t>et</w:t>
      </w:r>
      <w:r w:rsidR="002950AB" w:rsidRPr="00D96099">
        <w:rPr>
          <w:rFonts w:ascii="Times New Roman" w:hAnsi="Times New Roman"/>
        </w:rPr>
        <w:t>c</w:t>
      </w:r>
      <w:r w:rsidRPr="00D96099">
        <w:rPr>
          <w:rFonts w:ascii="Times New Roman" w:hAnsi="Times New Roman"/>
        </w:rPr>
        <w:t xml:space="preserve">.). Neste sentido, torna-se necessária a realização de licitações pela </w:t>
      </w:r>
      <w:r w:rsidR="002766A3" w:rsidRPr="00D96099">
        <w:rPr>
          <w:rFonts w:ascii="Times New Roman" w:hAnsi="Times New Roman"/>
        </w:rPr>
        <w:t xml:space="preserve">2ª </w:t>
      </w:r>
      <w:r w:rsidRPr="00D96099">
        <w:rPr>
          <w:rFonts w:ascii="Times New Roman" w:hAnsi="Times New Roman"/>
        </w:rPr>
        <w:t xml:space="preserve">Superintendência para aquisição de </w:t>
      </w:r>
      <w:r w:rsidR="00D904E0" w:rsidRPr="00D96099">
        <w:rPr>
          <w:rFonts w:ascii="Times New Roman" w:hAnsi="Times New Roman"/>
        </w:rPr>
        <w:t>ordenhadeiras portáteis e tanques de resfriamento de leite</w:t>
      </w:r>
      <w:r w:rsidR="002A7074" w:rsidRPr="00D96099">
        <w:rPr>
          <w:rFonts w:ascii="Times New Roman" w:hAnsi="Times New Roman"/>
        </w:rPr>
        <w:t>, visando</w:t>
      </w:r>
      <w:r w:rsidRPr="00D96099">
        <w:rPr>
          <w:rFonts w:ascii="Times New Roman" w:hAnsi="Times New Roman"/>
        </w:rPr>
        <w:t xml:space="preserve"> atender as necessidades e demandas da população da área de atuação da </w:t>
      </w:r>
      <w:r w:rsidR="007B7BD6" w:rsidRPr="00D96099">
        <w:rPr>
          <w:rFonts w:ascii="Times New Roman" w:hAnsi="Times New Roman"/>
        </w:rPr>
        <w:t>Codevasf</w:t>
      </w:r>
      <w:r w:rsidRPr="00D96099">
        <w:rPr>
          <w:rFonts w:ascii="Times New Roman" w:hAnsi="Times New Roman"/>
        </w:rPr>
        <w:t>.</w:t>
      </w:r>
    </w:p>
    <w:p w:rsidR="00613CB0" w:rsidRPr="00D96099" w:rsidRDefault="00613CB0" w:rsidP="00D04550">
      <w:pPr>
        <w:rPr>
          <w:rFonts w:ascii="Times New Roman" w:hAnsi="Times New Roman"/>
        </w:rPr>
      </w:pPr>
    </w:p>
    <w:p w:rsidR="003A3882" w:rsidRPr="00D96099" w:rsidRDefault="00D904E0" w:rsidP="00D04550">
      <w:pPr>
        <w:rPr>
          <w:rFonts w:ascii="Times New Roman" w:hAnsi="Times New Roman"/>
        </w:rPr>
      </w:pPr>
      <w:r w:rsidRPr="00D96099">
        <w:rPr>
          <w:rFonts w:ascii="Times New Roman" w:hAnsi="Times New Roman"/>
        </w:rPr>
        <w:t xml:space="preserve">Ressalta-se que em </w:t>
      </w:r>
      <w:r w:rsidR="003A3882" w:rsidRPr="00D96099">
        <w:rPr>
          <w:rFonts w:ascii="Times New Roman" w:hAnsi="Times New Roman"/>
        </w:rPr>
        <w:t>2022</w:t>
      </w:r>
      <w:r w:rsidR="00E04DAA" w:rsidRPr="00D96099">
        <w:rPr>
          <w:rFonts w:ascii="Times New Roman" w:hAnsi="Times New Roman"/>
        </w:rPr>
        <w:t xml:space="preserve">, a 2ª Superintendência Regional da </w:t>
      </w:r>
      <w:r w:rsidR="007B7BD6" w:rsidRPr="00D96099">
        <w:rPr>
          <w:rFonts w:ascii="Times New Roman" w:hAnsi="Times New Roman"/>
        </w:rPr>
        <w:t>Codevasf</w:t>
      </w:r>
      <w:r w:rsidR="00E04DAA" w:rsidRPr="00D96099">
        <w:rPr>
          <w:rFonts w:ascii="Times New Roman" w:hAnsi="Times New Roman"/>
        </w:rPr>
        <w:t xml:space="preserve"> realizou a </w:t>
      </w:r>
      <w:r w:rsidR="003A3882" w:rsidRPr="00D96099">
        <w:rPr>
          <w:rFonts w:ascii="Times New Roman" w:hAnsi="Times New Roman"/>
        </w:rPr>
        <w:t xml:space="preserve">aquisição e doação de </w:t>
      </w:r>
      <w:r w:rsidRPr="00D96099">
        <w:rPr>
          <w:rFonts w:ascii="Times New Roman" w:hAnsi="Times New Roman"/>
        </w:rPr>
        <w:t xml:space="preserve">ordenhadeiras mecânicas portáteis (Figuras 01 e 02) e tanques de resfriamento de leite (Figuras 03 e 04), </w:t>
      </w:r>
      <w:r w:rsidR="0003467F" w:rsidRPr="00D96099">
        <w:rPr>
          <w:rFonts w:ascii="Times New Roman" w:hAnsi="Times New Roman"/>
        </w:rPr>
        <w:t xml:space="preserve">no qual estão </w:t>
      </w:r>
      <w:r w:rsidR="00613CB0">
        <w:rPr>
          <w:rFonts w:ascii="Times New Roman" w:hAnsi="Times New Roman"/>
        </w:rPr>
        <w:t>foram destinados para contribuir com o aperfeiçoamento da atividade e a</w:t>
      </w:r>
      <w:r w:rsidR="0003467F" w:rsidRPr="00D96099">
        <w:rPr>
          <w:rFonts w:ascii="Times New Roman" w:hAnsi="Times New Roman"/>
        </w:rPr>
        <w:t xml:space="preserve"> geração de ocupação e renda para </w:t>
      </w:r>
      <w:r w:rsidRPr="00D96099">
        <w:rPr>
          <w:rFonts w:ascii="Times New Roman" w:hAnsi="Times New Roman"/>
        </w:rPr>
        <w:t>famílias de bovinocultores de leite.</w:t>
      </w:r>
    </w:p>
    <w:p w:rsidR="003A1376" w:rsidRPr="00D96099" w:rsidRDefault="003A1376" w:rsidP="00D04550">
      <w:pPr>
        <w:rPr>
          <w:rFonts w:ascii="Times New Roman" w:hAnsi="Times New Roman"/>
        </w:rPr>
      </w:pPr>
    </w:p>
    <w:tbl>
      <w:tblPr>
        <w:tblStyle w:val="Tabelacomgrade"/>
        <w:tblW w:w="0" w:type="auto"/>
        <w:tblLook w:val="04A0"/>
      </w:tblPr>
      <w:tblGrid>
        <w:gridCol w:w="5527"/>
        <w:gridCol w:w="3761"/>
      </w:tblGrid>
      <w:tr w:rsidR="003A1376" w:rsidRPr="00D96099" w:rsidTr="003A1376">
        <w:tc>
          <w:tcPr>
            <w:tcW w:w="4606" w:type="dxa"/>
            <w:tcBorders>
              <w:top w:val="nil"/>
              <w:left w:val="nil"/>
              <w:bottom w:val="nil"/>
              <w:right w:val="nil"/>
            </w:tcBorders>
            <w:vAlign w:val="center"/>
          </w:tcPr>
          <w:p w:rsidR="003A1376" w:rsidRPr="00D96099" w:rsidRDefault="00D904E0" w:rsidP="003A1376">
            <w:pPr>
              <w:jc w:val="center"/>
              <w:rPr>
                <w:rFonts w:ascii="Times New Roman" w:hAnsi="Times New Roman"/>
                <w:sz w:val="16"/>
                <w:szCs w:val="16"/>
              </w:rPr>
            </w:pPr>
            <w:r w:rsidRPr="00D96099">
              <w:rPr>
                <w:rFonts w:ascii="Times New Roman" w:hAnsi="Times New Roman"/>
                <w:noProof/>
                <w:sz w:val="16"/>
                <w:szCs w:val="16"/>
              </w:rPr>
              <w:drawing>
                <wp:inline distT="0" distB="0" distL="0" distR="0">
                  <wp:extent cx="3353120" cy="2520000"/>
                  <wp:effectExtent l="19050" t="0" r="0" b="0"/>
                  <wp:docPr id="1" name="Imagem 2" descr="\\10.1.50.61\Armazenamento\2ª_GRR\UDT\LICITAÇÕES 2021\Apicultura e Kits de Irrigação_outubro 2021\Notas Fiscais\TYPE COMÉRCIO\Fotografias 01.06.2022_Ordenhadeiras\iCloud Photos\TC_001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50.61\Armazenamento\2ª_GRR\UDT\LICITAÇÕES 2021\Apicultura e Kits de Irrigação_outubro 2021\Notas Fiscais\TYPE COMÉRCIO\Fotografias 01.06.2022_Ordenhadeiras\iCloud Photos\TC_00113.JPG"/>
                          <pic:cNvPicPr>
                            <a:picLocks noChangeAspect="1" noChangeArrowheads="1"/>
                          </pic:cNvPicPr>
                        </pic:nvPicPr>
                        <pic:blipFill>
                          <a:blip r:embed="rId9" cstate="print"/>
                          <a:srcRect/>
                          <a:stretch>
                            <a:fillRect/>
                          </a:stretch>
                        </pic:blipFill>
                        <pic:spPr bwMode="auto">
                          <a:xfrm>
                            <a:off x="0" y="0"/>
                            <a:ext cx="3353120" cy="2520000"/>
                          </a:xfrm>
                          <a:prstGeom prst="rect">
                            <a:avLst/>
                          </a:prstGeom>
                          <a:noFill/>
                          <a:ln w="9525">
                            <a:noFill/>
                            <a:miter lim="800000"/>
                            <a:headEnd/>
                            <a:tailEnd/>
                          </a:ln>
                        </pic:spPr>
                      </pic:pic>
                    </a:graphicData>
                  </a:graphic>
                </wp:inline>
              </w:drawing>
            </w:r>
          </w:p>
          <w:p w:rsidR="003A1376" w:rsidRPr="00D96099" w:rsidRDefault="003A1376" w:rsidP="003A1376">
            <w:pPr>
              <w:jc w:val="center"/>
              <w:rPr>
                <w:rFonts w:ascii="Times New Roman" w:hAnsi="Times New Roman"/>
                <w:sz w:val="16"/>
                <w:szCs w:val="16"/>
              </w:rPr>
            </w:pPr>
            <w:r w:rsidRPr="00D96099">
              <w:rPr>
                <w:rFonts w:ascii="Times New Roman" w:hAnsi="Times New Roman"/>
                <w:sz w:val="16"/>
                <w:szCs w:val="16"/>
              </w:rPr>
              <w:t>(01)</w:t>
            </w:r>
          </w:p>
        </w:tc>
        <w:tc>
          <w:tcPr>
            <w:tcW w:w="4606" w:type="dxa"/>
            <w:tcBorders>
              <w:top w:val="nil"/>
              <w:left w:val="nil"/>
              <w:bottom w:val="nil"/>
              <w:right w:val="nil"/>
            </w:tcBorders>
            <w:vAlign w:val="center"/>
          </w:tcPr>
          <w:p w:rsidR="003A1376" w:rsidRPr="00D96099" w:rsidRDefault="00D904E0" w:rsidP="003A1376">
            <w:pPr>
              <w:jc w:val="center"/>
              <w:rPr>
                <w:rFonts w:ascii="Times New Roman" w:hAnsi="Times New Roman"/>
                <w:sz w:val="16"/>
                <w:szCs w:val="16"/>
              </w:rPr>
            </w:pPr>
            <w:r w:rsidRPr="00D96099">
              <w:rPr>
                <w:rFonts w:ascii="Times New Roman" w:hAnsi="Times New Roman"/>
                <w:noProof/>
                <w:sz w:val="16"/>
                <w:szCs w:val="16"/>
              </w:rPr>
              <w:drawing>
                <wp:inline distT="0" distB="0" distL="0" distR="0">
                  <wp:extent cx="1892999" cy="2520000"/>
                  <wp:effectExtent l="19050" t="0" r="0" b="0"/>
                  <wp:docPr id="2" name="Imagem 8" descr="C:\Users\manoel.souza\AppData\Local\Microsoft\Windows\INetCache\Content.Word\TC_00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noel.souza\AppData\Local\Microsoft\Windows\INetCache\Content.Word\TC_00105.jpg"/>
                          <pic:cNvPicPr>
                            <a:picLocks noChangeAspect="1" noChangeArrowheads="1"/>
                          </pic:cNvPicPr>
                        </pic:nvPicPr>
                        <pic:blipFill>
                          <a:blip r:embed="rId10" cstate="print"/>
                          <a:srcRect/>
                          <a:stretch>
                            <a:fillRect/>
                          </a:stretch>
                        </pic:blipFill>
                        <pic:spPr bwMode="auto">
                          <a:xfrm>
                            <a:off x="0" y="0"/>
                            <a:ext cx="1892999" cy="2520000"/>
                          </a:xfrm>
                          <a:prstGeom prst="rect">
                            <a:avLst/>
                          </a:prstGeom>
                          <a:noFill/>
                          <a:ln w="9525">
                            <a:noFill/>
                            <a:miter lim="800000"/>
                            <a:headEnd/>
                            <a:tailEnd/>
                          </a:ln>
                        </pic:spPr>
                      </pic:pic>
                    </a:graphicData>
                  </a:graphic>
                </wp:inline>
              </w:drawing>
            </w:r>
          </w:p>
          <w:p w:rsidR="003A1376" w:rsidRPr="00D96099" w:rsidRDefault="003A1376" w:rsidP="003A1376">
            <w:pPr>
              <w:jc w:val="center"/>
              <w:rPr>
                <w:rFonts w:ascii="Times New Roman" w:hAnsi="Times New Roman"/>
                <w:sz w:val="16"/>
                <w:szCs w:val="16"/>
              </w:rPr>
            </w:pPr>
            <w:r w:rsidRPr="00D96099">
              <w:rPr>
                <w:rFonts w:ascii="Times New Roman" w:hAnsi="Times New Roman"/>
                <w:sz w:val="16"/>
                <w:szCs w:val="16"/>
              </w:rPr>
              <w:t>(02)</w:t>
            </w:r>
          </w:p>
        </w:tc>
      </w:tr>
      <w:tr w:rsidR="003A1376" w:rsidRPr="00D96099" w:rsidTr="003A1376">
        <w:tc>
          <w:tcPr>
            <w:tcW w:w="4606" w:type="dxa"/>
            <w:tcBorders>
              <w:top w:val="nil"/>
              <w:left w:val="nil"/>
              <w:bottom w:val="nil"/>
              <w:right w:val="nil"/>
            </w:tcBorders>
            <w:vAlign w:val="center"/>
          </w:tcPr>
          <w:p w:rsidR="003A1376" w:rsidRPr="00D96099" w:rsidRDefault="003A1376" w:rsidP="003A1376">
            <w:pPr>
              <w:jc w:val="center"/>
              <w:rPr>
                <w:rFonts w:ascii="Times New Roman" w:hAnsi="Times New Roman"/>
                <w:noProof/>
                <w:sz w:val="16"/>
                <w:szCs w:val="16"/>
              </w:rPr>
            </w:pPr>
          </w:p>
        </w:tc>
        <w:tc>
          <w:tcPr>
            <w:tcW w:w="4606" w:type="dxa"/>
            <w:tcBorders>
              <w:top w:val="nil"/>
              <w:left w:val="nil"/>
              <w:bottom w:val="nil"/>
              <w:right w:val="nil"/>
            </w:tcBorders>
            <w:vAlign w:val="center"/>
          </w:tcPr>
          <w:p w:rsidR="003A1376" w:rsidRPr="00D96099" w:rsidRDefault="003A1376" w:rsidP="003A1376">
            <w:pPr>
              <w:jc w:val="center"/>
              <w:rPr>
                <w:rFonts w:ascii="Times New Roman" w:hAnsi="Times New Roman"/>
                <w:noProof/>
                <w:sz w:val="16"/>
                <w:szCs w:val="16"/>
              </w:rPr>
            </w:pPr>
          </w:p>
        </w:tc>
      </w:tr>
      <w:tr w:rsidR="003A1376" w:rsidRPr="00D96099" w:rsidTr="003A1376">
        <w:tc>
          <w:tcPr>
            <w:tcW w:w="9212" w:type="dxa"/>
            <w:gridSpan w:val="2"/>
            <w:tcBorders>
              <w:top w:val="nil"/>
              <w:left w:val="nil"/>
              <w:bottom w:val="nil"/>
              <w:right w:val="nil"/>
            </w:tcBorders>
            <w:vAlign w:val="center"/>
          </w:tcPr>
          <w:p w:rsidR="003A1376" w:rsidRPr="00D96099" w:rsidRDefault="003A1376" w:rsidP="006138DC">
            <w:pPr>
              <w:jc w:val="center"/>
              <w:rPr>
                <w:rFonts w:ascii="Times New Roman" w:hAnsi="Times New Roman"/>
                <w:sz w:val="18"/>
                <w:szCs w:val="18"/>
              </w:rPr>
            </w:pPr>
            <w:r w:rsidRPr="00D96099">
              <w:rPr>
                <w:rFonts w:ascii="Times New Roman" w:hAnsi="Times New Roman"/>
                <w:b/>
                <w:sz w:val="18"/>
                <w:szCs w:val="18"/>
              </w:rPr>
              <w:t>Figuras 01 e 02:</w:t>
            </w:r>
            <w:r w:rsidRPr="00D96099">
              <w:rPr>
                <w:rFonts w:ascii="Times New Roman" w:hAnsi="Times New Roman"/>
                <w:sz w:val="18"/>
                <w:szCs w:val="18"/>
              </w:rPr>
              <w:t xml:space="preserve"> imagens de </w:t>
            </w:r>
            <w:r w:rsidR="00D904E0" w:rsidRPr="00D96099">
              <w:rPr>
                <w:rFonts w:ascii="Times New Roman" w:hAnsi="Times New Roman"/>
                <w:sz w:val="18"/>
                <w:szCs w:val="18"/>
              </w:rPr>
              <w:t>ordenhadeiras mecânicas portáteis, adquirida</w:t>
            </w:r>
            <w:r w:rsidRPr="00D96099">
              <w:rPr>
                <w:rFonts w:ascii="Times New Roman" w:hAnsi="Times New Roman"/>
                <w:sz w:val="18"/>
                <w:szCs w:val="18"/>
              </w:rPr>
              <w:t>s pela Codevasf – 2ª SR em 2022.</w:t>
            </w:r>
          </w:p>
        </w:tc>
      </w:tr>
    </w:tbl>
    <w:p w:rsidR="003A1376" w:rsidRPr="00D96099" w:rsidRDefault="003A1376" w:rsidP="00D04550">
      <w:pPr>
        <w:rPr>
          <w:rFonts w:ascii="Times New Roman" w:hAnsi="Times New Roman"/>
        </w:rPr>
      </w:pPr>
    </w:p>
    <w:tbl>
      <w:tblPr>
        <w:tblStyle w:val="Tabelacomgrade"/>
        <w:tblW w:w="0" w:type="auto"/>
        <w:tblLook w:val="04A0"/>
      </w:tblPr>
      <w:tblGrid>
        <w:gridCol w:w="4606"/>
        <w:gridCol w:w="4606"/>
      </w:tblGrid>
      <w:tr w:rsidR="003A1376" w:rsidRPr="00D96099" w:rsidTr="00DE37C2">
        <w:tc>
          <w:tcPr>
            <w:tcW w:w="4606" w:type="dxa"/>
            <w:tcBorders>
              <w:top w:val="nil"/>
              <w:left w:val="nil"/>
              <w:bottom w:val="nil"/>
              <w:right w:val="nil"/>
            </w:tcBorders>
            <w:vAlign w:val="center"/>
          </w:tcPr>
          <w:p w:rsidR="003A1376" w:rsidRPr="00D96099" w:rsidRDefault="00D96099" w:rsidP="00A05689">
            <w:pPr>
              <w:jc w:val="center"/>
              <w:rPr>
                <w:rFonts w:ascii="Times New Roman" w:hAnsi="Times New Roman"/>
                <w:sz w:val="16"/>
                <w:szCs w:val="16"/>
              </w:rPr>
            </w:pPr>
            <w:r w:rsidRPr="00D96099">
              <w:rPr>
                <w:rFonts w:ascii="Times New Roman" w:hAnsi="Times New Roman"/>
                <w:noProof/>
                <w:sz w:val="16"/>
                <w:szCs w:val="16"/>
              </w:rPr>
              <w:lastRenderedPageBreak/>
              <w:drawing>
                <wp:inline distT="0" distB="0" distL="0" distR="0">
                  <wp:extent cx="1893000" cy="2520000"/>
                  <wp:effectExtent l="19050" t="0" r="0" b="0"/>
                  <wp:docPr id="4" name="Imagem 1" descr="D:\Downloads\WhatsApp Image 2023-03-06 at 13.51.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s\WhatsApp Image 2023-03-06 at 13.51.07.jpeg"/>
                          <pic:cNvPicPr>
                            <a:picLocks noChangeAspect="1" noChangeArrowheads="1"/>
                          </pic:cNvPicPr>
                        </pic:nvPicPr>
                        <pic:blipFill>
                          <a:blip r:embed="rId11" cstate="print"/>
                          <a:srcRect/>
                          <a:stretch>
                            <a:fillRect/>
                          </a:stretch>
                        </pic:blipFill>
                        <pic:spPr bwMode="auto">
                          <a:xfrm>
                            <a:off x="0" y="0"/>
                            <a:ext cx="1893000" cy="2520000"/>
                          </a:xfrm>
                          <a:prstGeom prst="rect">
                            <a:avLst/>
                          </a:prstGeom>
                          <a:noFill/>
                          <a:ln w="9525">
                            <a:noFill/>
                            <a:miter lim="800000"/>
                            <a:headEnd/>
                            <a:tailEnd/>
                          </a:ln>
                        </pic:spPr>
                      </pic:pic>
                    </a:graphicData>
                  </a:graphic>
                </wp:inline>
              </w:drawing>
            </w:r>
          </w:p>
          <w:p w:rsidR="003A1376" w:rsidRPr="00D96099" w:rsidRDefault="003A1376" w:rsidP="003A1376">
            <w:pPr>
              <w:jc w:val="center"/>
              <w:rPr>
                <w:rFonts w:ascii="Times New Roman" w:hAnsi="Times New Roman"/>
                <w:sz w:val="16"/>
                <w:szCs w:val="16"/>
              </w:rPr>
            </w:pPr>
            <w:r w:rsidRPr="00D96099">
              <w:rPr>
                <w:rFonts w:ascii="Times New Roman" w:hAnsi="Times New Roman"/>
                <w:sz w:val="16"/>
                <w:szCs w:val="16"/>
              </w:rPr>
              <w:t>(03)</w:t>
            </w:r>
          </w:p>
        </w:tc>
        <w:tc>
          <w:tcPr>
            <w:tcW w:w="4606" w:type="dxa"/>
            <w:tcBorders>
              <w:top w:val="nil"/>
              <w:left w:val="nil"/>
              <w:bottom w:val="nil"/>
              <w:right w:val="nil"/>
            </w:tcBorders>
            <w:vAlign w:val="center"/>
          </w:tcPr>
          <w:p w:rsidR="003A1376" w:rsidRPr="00D96099" w:rsidRDefault="00D96099" w:rsidP="00A05689">
            <w:pPr>
              <w:jc w:val="center"/>
              <w:rPr>
                <w:rFonts w:ascii="Times New Roman" w:hAnsi="Times New Roman"/>
                <w:sz w:val="16"/>
                <w:szCs w:val="16"/>
              </w:rPr>
            </w:pPr>
            <w:r w:rsidRPr="00D96099">
              <w:rPr>
                <w:rFonts w:ascii="Times New Roman" w:hAnsi="Times New Roman"/>
                <w:noProof/>
                <w:sz w:val="16"/>
                <w:szCs w:val="16"/>
              </w:rPr>
              <w:drawing>
                <wp:inline distT="0" distB="0" distL="0" distR="0">
                  <wp:extent cx="1893001" cy="2520000"/>
                  <wp:effectExtent l="19050" t="0" r="0" b="0"/>
                  <wp:docPr id="5" name="Imagem 2" descr="D:\Downloads\WhatsApp Image 2023-03-06 at 13.51.07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wnloads\WhatsApp Image 2023-03-06 at 13.51.07 (1).jpeg"/>
                          <pic:cNvPicPr>
                            <a:picLocks noChangeAspect="1" noChangeArrowheads="1"/>
                          </pic:cNvPicPr>
                        </pic:nvPicPr>
                        <pic:blipFill>
                          <a:blip r:embed="rId12" cstate="print"/>
                          <a:srcRect/>
                          <a:stretch>
                            <a:fillRect/>
                          </a:stretch>
                        </pic:blipFill>
                        <pic:spPr bwMode="auto">
                          <a:xfrm>
                            <a:off x="0" y="0"/>
                            <a:ext cx="1893001" cy="2520000"/>
                          </a:xfrm>
                          <a:prstGeom prst="rect">
                            <a:avLst/>
                          </a:prstGeom>
                          <a:noFill/>
                          <a:ln w="9525">
                            <a:noFill/>
                            <a:miter lim="800000"/>
                            <a:headEnd/>
                            <a:tailEnd/>
                          </a:ln>
                        </pic:spPr>
                      </pic:pic>
                    </a:graphicData>
                  </a:graphic>
                </wp:inline>
              </w:drawing>
            </w:r>
          </w:p>
          <w:p w:rsidR="003A1376" w:rsidRPr="00D96099" w:rsidRDefault="003A1376" w:rsidP="00A05689">
            <w:pPr>
              <w:jc w:val="center"/>
              <w:rPr>
                <w:rFonts w:ascii="Times New Roman" w:hAnsi="Times New Roman"/>
                <w:sz w:val="16"/>
                <w:szCs w:val="16"/>
              </w:rPr>
            </w:pPr>
            <w:r w:rsidRPr="00D96099">
              <w:rPr>
                <w:rFonts w:ascii="Times New Roman" w:hAnsi="Times New Roman"/>
                <w:sz w:val="16"/>
                <w:szCs w:val="16"/>
              </w:rPr>
              <w:t>(04)</w:t>
            </w:r>
          </w:p>
        </w:tc>
      </w:tr>
      <w:tr w:rsidR="004866BB" w:rsidRPr="00D96099" w:rsidTr="00DE37C2">
        <w:tc>
          <w:tcPr>
            <w:tcW w:w="4606" w:type="dxa"/>
            <w:tcBorders>
              <w:top w:val="nil"/>
              <w:left w:val="nil"/>
              <w:bottom w:val="nil"/>
              <w:right w:val="nil"/>
            </w:tcBorders>
            <w:vAlign w:val="center"/>
          </w:tcPr>
          <w:p w:rsidR="004866BB" w:rsidRPr="00D96099" w:rsidRDefault="004866BB" w:rsidP="00A05689">
            <w:pPr>
              <w:jc w:val="center"/>
              <w:rPr>
                <w:rFonts w:ascii="Times New Roman" w:hAnsi="Times New Roman"/>
                <w:noProof/>
                <w:sz w:val="16"/>
                <w:szCs w:val="16"/>
              </w:rPr>
            </w:pPr>
          </w:p>
        </w:tc>
        <w:tc>
          <w:tcPr>
            <w:tcW w:w="4606" w:type="dxa"/>
            <w:tcBorders>
              <w:top w:val="nil"/>
              <w:left w:val="nil"/>
              <w:bottom w:val="nil"/>
              <w:right w:val="nil"/>
            </w:tcBorders>
            <w:vAlign w:val="center"/>
          </w:tcPr>
          <w:p w:rsidR="004866BB" w:rsidRPr="00D96099" w:rsidRDefault="004866BB" w:rsidP="00A05689">
            <w:pPr>
              <w:jc w:val="center"/>
              <w:rPr>
                <w:rFonts w:ascii="Times New Roman" w:hAnsi="Times New Roman"/>
                <w:noProof/>
                <w:sz w:val="16"/>
                <w:szCs w:val="16"/>
              </w:rPr>
            </w:pPr>
          </w:p>
        </w:tc>
      </w:tr>
      <w:tr w:rsidR="003A1376" w:rsidRPr="00D96099" w:rsidTr="00DE37C2">
        <w:tc>
          <w:tcPr>
            <w:tcW w:w="9212" w:type="dxa"/>
            <w:gridSpan w:val="2"/>
            <w:tcBorders>
              <w:top w:val="nil"/>
              <w:left w:val="nil"/>
              <w:bottom w:val="nil"/>
              <w:right w:val="nil"/>
            </w:tcBorders>
            <w:vAlign w:val="center"/>
          </w:tcPr>
          <w:p w:rsidR="003A1376" w:rsidRPr="00D96099" w:rsidRDefault="006138DC" w:rsidP="006138DC">
            <w:pPr>
              <w:jc w:val="center"/>
              <w:rPr>
                <w:rFonts w:ascii="Times New Roman" w:hAnsi="Times New Roman"/>
                <w:sz w:val="18"/>
                <w:szCs w:val="18"/>
              </w:rPr>
            </w:pPr>
            <w:r w:rsidRPr="00D96099">
              <w:rPr>
                <w:rFonts w:ascii="Times New Roman" w:hAnsi="Times New Roman"/>
                <w:b/>
                <w:sz w:val="18"/>
                <w:szCs w:val="18"/>
              </w:rPr>
              <w:t>Figuras 03 e 04</w:t>
            </w:r>
            <w:r w:rsidR="003A1376" w:rsidRPr="00D96099">
              <w:rPr>
                <w:rFonts w:ascii="Times New Roman" w:hAnsi="Times New Roman"/>
                <w:b/>
                <w:sz w:val="18"/>
                <w:szCs w:val="18"/>
              </w:rPr>
              <w:t>:</w:t>
            </w:r>
            <w:r w:rsidR="003A1376" w:rsidRPr="00D96099">
              <w:rPr>
                <w:rFonts w:ascii="Times New Roman" w:hAnsi="Times New Roman"/>
                <w:sz w:val="18"/>
                <w:szCs w:val="18"/>
              </w:rPr>
              <w:t xml:space="preserve"> imagens de </w:t>
            </w:r>
            <w:r w:rsidRPr="00D96099">
              <w:rPr>
                <w:rFonts w:ascii="Times New Roman" w:hAnsi="Times New Roman"/>
                <w:sz w:val="18"/>
                <w:szCs w:val="18"/>
              </w:rPr>
              <w:t>tanques de resfriamento de leite</w:t>
            </w:r>
            <w:r w:rsidR="003A1376" w:rsidRPr="00D96099">
              <w:rPr>
                <w:rFonts w:ascii="Times New Roman" w:hAnsi="Times New Roman"/>
                <w:sz w:val="18"/>
                <w:szCs w:val="18"/>
              </w:rPr>
              <w:t>, adquiridos pela Codevasf – 2ª SR em 2022.</w:t>
            </w:r>
          </w:p>
        </w:tc>
      </w:tr>
    </w:tbl>
    <w:p w:rsidR="003A1376" w:rsidRPr="00D96099" w:rsidRDefault="003A1376" w:rsidP="003A1376">
      <w:pPr>
        <w:rPr>
          <w:rFonts w:ascii="Times New Roman" w:hAnsi="Times New Roman"/>
        </w:rPr>
      </w:pPr>
    </w:p>
    <w:p w:rsidR="003A1376" w:rsidRPr="00D96099" w:rsidRDefault="003A1376" w:rsidP="00D04550">
      <w:pPr>
        <w:rPr>
          <w:rFonts w:ascii="Times New Roman" w:hAnsi="Times New Roman"/>
        </w:rPr>
      </w:pPr>
    </w:p>
    <w:p w:rsidR="00CC7764" w:rsidRPr="00D96099" w:rsidRDefault="00CC7764" w:rsidP="006A65C0">
      <w:pPr>
        <w:pStyle w:val="Textbody"/>
        <w:spacing w:after="0"/>
        <w:ind w:firstLine="708"/>
        <w:jc w:val="both"/>
        <w:rPr>
          <w:rFonts w:eastAsia="Calibri" w:cs="Times New Roman"/>
          <w:b/>
          <w:bCs/>
        </w:rPr>
      </w:pPr>
      <w:r w:rsidRPr="00D96099">
        <w:rPr>
          <w:rFonts w:eastAsia="Calibri" w:cs="Times New Roman"/>
          <w:b/>
          <w:bCs/>
        </w:rPr>
        <w:t xml:space="preserve">4.1. Definição de demanda </w:t>
      </w:r>
    </w:p>
    <w:p w:rsidR="00CC7764" w:rsidRPr="00D96099" w:rsidRDefault="00CC7764" w:rsidP="00CC7764">
      <w:pPr>
        <w:rPr>
          <w:rFonts w:ascii="Times New Roman" w:hAnsi="Times New Roman"/>
          <w:bCs/>
        </w:rPr>
      </w:pPr>
    </w:p>
    <w:p w:rsidR="00CC7764" w:rsidRPr="00D96099" w:rsidRDefault="00CC7764" w:rsidP="00D04550">
      <w:pPr>
        <w:rPr>
          <w:rFonts w:ascii="Times New Roman" w:hAnsi="Times New Roman"/>
        </w:rPr>
      </w:pPr>
      <w:r w:rsidRPr="00D96099">
        <w:rPr>
          <w:rFonts w:ascii="Times New Roman" w:hAnsi="Times New Roman"/>
        </w:rPr>
        <w:t>O início dos procedimentos licitatórios, na modalidade Pregão Eletrônico, em S</w:t>
      </w:r>
      <w:r w:rsidR="00B75551" w:rsidRPr="00D96099">
        <w:rPr>
          <w:rFonts w:ascii="Times New Roman" w:hAnsi="Times New Roman"/>
        </w:rPr>
        <w:t xml:space="preserve">istema de Registro de Preços (PE/SRP), </w:t>
      </w:r>
      <w:r w:rsidRPr="00D96099">
        <w:rPr>
          <w:rFonts w:ascii="Times New Roman" w:hAnsi="Times New Roman"/>
        </w:rPr>
        <w:t xml:space="preserve">Menor Preço por Item, para o fornecimento, carga, transporte e descarga de </w:t>
      </w:r>
      <w:r w:rsidR="00D96099" w:rsidRPr="00D96099">
        <w:rPr>
          <w:rFonts w:ascii="Times New Roman" w:hAnsi="Times New Roman"/>
        </w:rPr>
        <w:t>ordenhadeiras e tanques de resfriamento de leite</w:t>
      </w:r>
      <w:r w:rsidR="00396C64">
        <w:rPr>
          <w:rFonts w:ascii="Times New Roman" w:hAnsi="Times New Roman"/>
        </w:rPr>
        <w:t xml:space="preserve"> </w:t>
      </w:r>
      <w:r w:rsidRPr="00D96099">
        <w:rPr>
          <w:rFonts w:ascii="Times New Roman" w:hAnsi="Times New Roman"/>
        </w:rPr>
        <w:t>visa</w:t>
      </w:r>
      <w:r w:rsidR="00594C56" w:rsidRPr="00D96099">
        <w:rPr>
          <w:rFonts w:ascii="Times New Roman" w:hAnsi="Times New Roman"/>
        </w:rPr>
        <w:t xml:space="preserve"> atender à</w:t>
      </w:r>
      <w:r w:rsidRPr="00D96099">
        <w:rPr>
          <w:rFonts w:ascii="Times New Roman" w:hAnsi="Times New Roman"/>
        </w:rPr>
        <w:t>s indicações através de emendas parlamentares que serão desti</w:t>
      </w:r>
      <w:r w:rsidR="00B75551" w:rsidRPr="00D96099">
        <w:rPr>
          <w:rFonts w:ascii="Times New Roman" w:hAnsi="Times New Roman"/>
        </w:rPr>
        <w:t>nadas à</w:t>
      </w:r>
      <w:r w:rsidRPr="00D96099">
        <w:rPr>
          <w:rFonts w:ascii="Times New Roman" w:hAnsi="Times New Roman"/>
        </w:rPr>
        <w:t xml:space="preserve">s políticas públicas voltadas para a solução das carências do semiárido nordestino e outras regiões do Estado da Bahia, na área sob a </w:t>
      </w:r>
      <w:r w:rsidR="00B75551" w:rsidRPr="00D96099">
        <w:rPr>
          <w:rFonts w:ascii="Times New Roman" w:hAnsi="Times New Roman"/>
        </w:rPr>
        <w:t>jurisdição</w:t>
      </w:r>
      <w:r w:rsidRPr="00D96099">
        <w:rPr>
          <w:rFonts w:ascii="Times New Roman" w:hAnsi="Times New Roman"/>
        </w:rPr>
        <w:t xml:space="preserve"> da 2ª Superintendência Regional da </w:t>
      </w:r>
      <w:r w:rsidR="007B7BD6" w:rsidRPr="00D96099">
        <w:rPr>
          <w:rFonts w:ascii="Times New Roman" w:hAnsi="Times New Roman"/>
        </w:rPr>
        <w:t>Codevasf</w:t>
      </w:r>
      <w:r w:rsidRPr="00D96099">
        <w:rPr>
          <w:rFonts w:ascii="Times New Roman" w:hAnsi="Times New Roman"/>
        </w:rPr>
        <w:t xml:space="preserve">, no período de </w:t>
      </w:r>
      <w:r w:rsidR="00A80853" w:rsidRPr="00D96099">
        <w:rPr>
          <w:rFonts w:ascii="Times New Roman" w:hAnsi="Times New Roman"/>
          <w:b/>
        </w:rPr>
        <w:t>12</w:t>
      </w:r>
      <w:r w:rsidRPr="00D96099">
        <w:rPr>
          <w:rFonts w:ascii="Times New Roman" w:hAnsi="Times New Roman"/>
          <w:b/>
        </w:rPr>
        <w:t xml:space="preserve"> (</w:t>
      </w:r>
      <w:r w:rsidR="00A80853" w:rsidRPr="00D96099">
        <w:rPr>
          <w:rFonts w:ascii="Times New Roman" w:hAnsi="Times New Roman"/>
          <w:b/>
        </w:rPr>
        <w:t>doze</w:t>
      </w:r>
      <w:r w:rsidRPr="00D96099">
        <w:rPr>
          <w:rFonts w:ascii="Times New Roman" w:hAnsi="Times New Roman"/>
          <w:b/>
        </w:rPr>
        <w:t>) meses</w:t>
      </w:r>
      <w:r w:rsidRPr="00D96099">
        <w:rPr>
          <w:rFonts w:ascii="Times New Roman" w:hAnsi="Times New Roman"/>
        </w:rPr>
        <w:t xml:space="preserve">. </w:t>
      </w:r>
      <w:r w:rsidR="00914FD3" w:rsidRPr="00D96099">
        <w:rPr>
          <w:rFonts w:ascii="Times New Roman" w:hAnsi="Times New Roman"/>
        </w:rPr>
        <w:t xml:space="preserve">A seguir, temos </w:t>
      </w:r>
      <w:r w:rsidRPr="00D96099">
        <w:rPr>
          <w:rFonts w:ascii="Times New Roman" w:hAnsi="Times New Roman"/>
        </w:rPr>
        <w:t xml:space="preserve">a relação dos </w:t>
      </w:r>
      <w:r w:rsidR="00055309" w:rsidRPr="00D96099">
        <w:rPr>
          <w:rFonts w:ascii="Times New Roman" w:hAnsi="Times New Roman"/>
        </w:rPr>
        <w:t xml:space="preserve">212 </w:t>
      </w:r>
      <w:r w:rsidR="00B75551" w:rsidRPr="00D96099">
        <w:rPr>
          <w:rFonts w:ascii="Times New Roman" w:hAnsi="Times New Roman"/>
        </w:rPr>
        <w:t xml:space="preserve">(duzentos e doze) </w:t>
      </w:r>
      <w:r w:rsidR="00503913" w:rsidRPr="00D96099">
        <w:rPr>
          <w:rFonts w:ascii="Times New Roman" w:hAnsi="Times New Roman"/>
        </w:rPr>
        <w:t>municípios</w:t>
      </w:r>
      <w:r w:rsidRPr="00D96099">
        <w:rPr>
          <w:rFonts w:ascii="Times New Roman" w:hAnsi="Times New Roman"/>
        </w:rPr>
        <w:t xml:space="preserve"> que</w:t>
      </w:r>
      <w:r w:rsidR="00542679">
        <w:rPr>
          <w:rFonts w:ascii="Times New Roman" w:hAnsi="Times New Roman"/>
        </w:rPr>
        <w:t xml:space="preserve"> </w:t>
      </w:r>
      <w:r w:rsidR="00B75551" w:rsidRPr="00D96099">
        <w:rPr>
          <w:rFonts w:ascii="Times New Roman" w:hAnsi="Times New Roman"/>
        </w:rPr>
        <w:t>poderão ser</w:t>
      </w:r>
      <w:r w:rsidR="00D96099" w:rsidRPr="00D96099">
        <w:rPr>
          <w:rFonts w:ascii="Times New Roman" w:hAnsi="Times New Roman"/>
        </w:rPr>
        <w:t xml:space="preserve"> beneficiados no ano de 2023</w:t>
      </w:r>
      <w:r w:rsidRPr="00D96099">
        <w:rPr>
          <w:rFonts w:ascii="Times New Roman" w:hAnsi="Times New Roman"/>
        </w:rPr>
        <w:t xml:space="preserve"> com as ações da</w:t>
      </w:r>
      <w:r w:rsidR="00503913" w:rsidRPr="00D96099">
        <w:rPr>
          <w:rFonts w:ascii="Times New Roman" w:hAnsi="Times New Roman"/>
        </w:rPr>
        <w:t xml:space="preserve"> 2ª Superintendência Regional da</w:t>
      </w:r>
      <w:r w:rsidR="004D2C8A">
        <w:rPr>
          <w:rFonts w:ascii="Times New Roman" w:hAnsi="Times New Roman"/>
        </w:rPr>
        <w:t xml:space="preserve"> </w:t>
      </w:r>
      <w:r w:rsidR="007B7BD6" w:rsidRPr="00D96099">
        <w:rPr>
          <w:rFonts w:ascii="Times New Roman" w:hAnsi="Times New Roman"/>
        </w:rPr>
        <w:t>CODEVASF</w:t>
      </w:r>
      <w:r w:rsidR="00055309" w:rsidRPr="00D96099">
        <w:rPr>
          <w:rFonts w:ascii="Times New Roman" w:hAnsi="Times New Roman"/>
        </w:rPr>
        <w:t xml:space="preserve">, </w:t>
      </w:r>
      <w:r w:rsidR="004159BB" w:rsidRPr="00D96099">
        <w:rPr>
          <w:rFonts w:ascii="Times New Roman" w:hAnsi="Times New Roman"/>
        </w:rPr>
        <w:t xml:space="preserve">mencionados </w:t>
      </w:r>
      <w:r w:rsidR="00055309" w:rsidRPr="00D96099">
        <w:rPr>
          <w:rFonts w:ascii="Times New Roman" w:hAnsi="Times New Roman"/>
        </w:rPr>
        <w:t>por região</w:t>
      </w:r>
      <w:r w:rsidRPr="00D96099">
        <w:rPr>
          <w:rFonts w:ascii="Times New Roman" w:hAnsi="Times New Roman"/>
        </w:rPr>
        <w:t>.</w:t>
      </w:r>
    </w:p>
    <w:p w:rsidR="00CC7764" w:rsidRPr="00721A2F" w:rsidRDefault="00CC7764" w:rsidP="00D04550">
      <w:pPr>
        <w:rPr>
          <w:rFonts w:ascii="Times New Roman" w:hAnsi="Times New Roman"/>
          <w:color w:val="FF0000"/>
          <w:shd w:val="clear" w:color="auto" w:fill="FFFFFF"/>
        </w:rPr>
      </w:pPr>
    </w:p>
    <w:p w:rsidR="00055309" w:rsidRPr="00B57286" w:rsidRDefault="00055309" w:rsidP="00174CC5">
      <w:pPr>
        <w:pStyle w:val="PargrafodaLista"/>
        <w:numPr>
          <w:ilvl w:val="0"/>
          <w:numId w:val="6"/>
        </w:numPr>
        <w:spacing w:before="40" w:after="40"/>
        <w:ind w:left="426" w:hanging="284"/>
        <w:rPr>
          <w:rFonts w:ascii="Times New Roman" w:hAnsi="Times New Roman"/>
        </w:rPr>
      </w:pPr>
      <w:r w:rsidRPr="00B57286">
        <w:rPr>
          <w:rFonts w:ascii="Times New Roman" w:hAnsi="Times New Roman"/>
          <w:b/>
        </w:rPr>
        <w:t>REGIÃO I (Região de Bom Jesus da Lapa):</w:t>
      </w:r>
      <w:r w:rsidR="004C46A8">
        <w:rPr>
          <w:rFonts w:ascii="Times New Roman" w:hAnsi="Times New Roman"/>
          <w:b/>
        </w:rPr>
        <w:t xml:space="preserve"> </w:t>
      </w:r>
      <w:r w:rsidRPr="00B57286">
        <w:rPr>
          <w:rFonts w:ascii="Times New Roman" w:hAnsi="Times New Roman"/>
        </w:rPr>
        <w:t xml:space="preserve">Bom Jesus da Lapa, </w:t>
      </w:r>
      <w:proofErr w:type="spellStart"/>
      <w:r w:rsidRPr="00B57286">
        <w:rPr>
          <w:rFonts w:ascii="Times New Roman" w:hAnsi="Times New Roman"/>
        </w:rPr>
        <w:t>Boquira</w:t>
      </w:r>
      <w:proofErr w:type="spellEnd"/>
      <w:r w:rsidRPr="00B57286">
        <w:rPr>
          <w:rFonts w:ascii="Times New Roman" w:hAnsi="Times New Roman"/>
        </w:rPr>
        <w:t xml:space="preserve">, </w:t>
      </w:r>
      <w:proofErr w:type="spellStart"/>
      <w:r w:rsidRPr="00B57286">
        <w:rPr>
          <w:rFonts w:ascii="Times New Roman" w:hAnsi="Times New Roman"/>
        </w:rPr>
        <w:t>Botuporã</w:t>
      </w:r>
      <w:proofErr w:type="spellEnd"/>
      <w:r w:rsidRPr="00B57286">
        <w:rPr>
          <w:rFonts w:ascii="Times New Roman" w:hAnsi="Times New Roman"/>
        </w:rPr>
        <w:t xml:space="preserve">, </w:t>
      </w:r>
      <w:proofErr w:type="spellStart"/>
      <w:r w:rsidRPr="00B57286">
        <w:rPr>
          <w:rFonts w:ascii="Times New Roman" w:hAnsi="Times New Roman"/>
        </w:rPr>
        <w:t>Brejolândia</w:t>
      </w:r>
      <w:proofErr w:type="spellEnd"/>
      <w:r w:rsidRPr="00B57286">
        <w:rPr>
          <w:rFonts w:ascii="Times New Roman" w:hAnsi="Times New Roman"/>
        </w:rPr>
        <w:t xml:space="preserve">, </w:t>
      </w:r>
      <w:proofErr w:type="spellStart"/>
      <w:r w:rsidRPr="00B57286">
        <w:rPr>
          <w:rFonts w:ascii="Times New Roman" w:hAnsi="Times New Roman"/>
        </w:rPr>
        <w:t>Canápolis</w:t>
      </w:r>
      <w:proofErr w:type="spellEnd"/>
      <w:r w:rsidRPr="00B57286">
        <w:rPr>
          <w:rFonts w:ascii="Times New Roman" w:hAnsi="Times New Roman"/>
        </w:rPr>
        <w:t xml:space="preserve">, </w:t>
      </w:r>
      <w:proofErr w:type="spellStart"/>
      <w:r w:rsidRPr="00B57286">
        <w:rPr>
          <w:rFonts w:ascii="Times New Roman" w:hAnsi="Times New Roman"/>
        </w:rPr>
        <w:t>Carinhanha</w:t>
      </w:r>
      <w:proofErr w:type="spellEnd"/>
      <w:r w:rsidRPr="00B57286">
        <w:rPr>
          <w:rFonts w:ascii="Times New Roman" w:hAnsi="Times New Roman"/>
        </w:rPr>
        <w:t xml:space="preserve">, </w:t>
      </w:r>
      <w:proofErr w:type="spellStart"/>
      <w:r w:rsidRPr="00B57286">
        <w:rPr>
          <w:rFonts w:ascii="Times New Roman" w:hAnsi="Times New Roman"/>
        </w:rPr>
        <w:t>Caturama</w:t>
      </w:r>
      <w:proofErr w:type="spellEnd"/>
      <w:r w:rsidRPr="00B57286">
        <w:rPr>
          <w:rFonts w:ascii="Times New Roman" w:hAnsi="Times New Roman"/>
        </w:rPr>
        <w:t xml:space="preserve">, Cocos, </w:t>
      </w:r>
      <w:proofErr w:type="spellStart"/>
      <w:r w:rsidRPr="00B57286">
        <w:rPr>
          <w:rFonts w:ascii="Times New Roman" w:hAnsi="Times New Roman"/>
        </w:rPr>
        <w:t>Coribe</w:t>
      </w:r>
      <w:proofErr w:type="spellEnd"/>
      <w:r w:rsidRPr="00B57286">
        <w:rPr>
          <w:rFonts w:ascii="Times New Roman" w:hAnsi="Times New Roman"/>
        </w:rPr>
        <w:t xml:space="preserve">, Correntina, Dom Basílio, Érico Cardoso, Feira da Mata, </w:t>
      </w:r>
      <w:proofErr w:type="spellStart"/>
      <w:r w:rsidRPr="00B57286">
        <w:rPr>
          <w:rFonts w:ascii="Times New Roman" w:hAnsi="Times New Roman"/>
        </w:rPr>
        <w:t>Ibipitanga</w:t>
      </w:r>
      <w:proofErr w:type="spellEnd"/>
      <w:r w:rsidRPr="00B57286">
        <w:rPr>
          <w:rFonts w:ascii="Times New Roman" w:hAnsi="Times New Roman"/>
        </w:rPr>
        <w:t xml:space="preserve">, </w:t>
      </w:r>
      <w:proofErr w:type="spellStart"/>
      <w:r w:rsidRPr="00B57286">
        <w:rPr>
          <w:rFonts w:ascii="Times New Roman" w:hAnsi="Times New Roman"/>
        </w:rPr>
        <w:t>Ibotirama</w:t>
      </w:r>
      <w:proofErr w:type="spellEnd"/>
      <w:r w:rsidRPr="00B57286">
        <w:rPr>
          <w:rFonts w:ascii="Times New Roman" w:hAnsi="Times New Roman"/>
        </w:rPr>
        <w:t xml:space="preserve">, </w:t>
      </w:r>
      <w:proofErr w:type="spellStart"/>
      <w:r w:rsidRPr="00B57286">
        <w:rPr>
          <w:rFonts w:ascii="Times New Roman" w:hAnsi="Times New Roman"/>
        </w:rPr>
        <w:t>Igaporã</w:t>
      </w:r>
      <w:proofErr w:type="spellEnd"/>
      <w:r w:rsidRPr="00B57286">
        <w:rPr>
          <w:rFonts w:ascii="Times New Roman" w:hAnsi="Times New Roman"/>
        </w:rPr>
        <w:t xml:space="preserve">, </w:t>
      </w:r>
      <w:proofErr w:type="spellStart"/>
      <w:r w:rsidRPr="00B57286">
        <w:rPr>
          <w:rFonts w:ascii="Times New Roman" w:hAnsi="Times New Roman"/>
        </w:rPr>
        <w:t>Jaborandi</w:t>
      </w:r>
      <w:proofErr w:type="spellEnd"/>
      <w:r w:rsidRPr="00B57286">
        <w:rPr>
          <w:rFonts w:ascii="Times New Roman" w:hAnsi="Times New Roman"/>
        </w:rPr>
        <w:t xml:space="preserve">, Jussiape, Livramento de Nossa Senhora, Macaúbas, Matina, </w:t>
      </w:r>
      <w:proofErr w:type="spellStart"/>
      <w:r w:rsidRPr="00B57286">
        <w:rPr>
          <w:rFonts w:ascii="Times New Roman" w:hAnsi="Times New Roman"/>
        </w:rPr>
        <w:t>Morpará</w:t>
      </w:r>
      <w:proofErr w:type="spellEnd"/>
      <w:r w:rsidRPr="00B57286">
        <w:rPr>
          <w:rFonts w:ascii="Times New Roman" w:hAnsi="Times New Roman"/>
        </w:rPr>
        <w:t xml:space="preserve">, </w:t>
      </w:r>
      <w:proofErr w:type="spellStart"/>
      <w:r w:rsidRPr="00B57286">
        <w:rPr>
          <w:rFonts w:ascii="Times New Roman" w:hAnsi="Times New Roman"/>
        </w:rPr>
        <w:t>Muquém</w:t>
      </w:r>
      <w:proofErr w:type="spellEnd"/>
      <w:r w:rsidRPr="00B57286">
        <w:rPr>
          <w:rFonts w:ascii="Times New Roman" w:hAnsi="Times New Roman"/>
        </w:rPr>
        <w:t xml:space="preserve"> do São Francisco, Oliveira dos Brejinhos, Paramirim, Paratinga, Riacho de Santana, Rio de Contas, Rio do Pires, Santa Maria da Vitória, Santana, São Félix do </w:t>
      </w:r>
      <w:proofErr w:type="spellStart"/>
      <w:r w:rsidRPr="00B57286">
        <w:rPr>
          <w:rFonts w:ascii="Times New Roman" w:hAnsi="Times New Roman"/>
        </w:rPr>
        <w:t>Coribe</w:t>
      </w:r>
      <w:proofErr w:type="spellEnd"/>
      <w:r w:rsidRPr="00B57286">
        <w:rPr>
          <w:rFonts w:ascii="Times New Roman" w:hAnsi="Times New Roman"/>
        </w:rPr>
        <w:t>, Serra do Ramalho, Serra Dourada, Sítio do Mato e Tanque Novo.</w:t>
      </w:r>
    </w:p>
    <w:p w:rsidR="00055309" w:rsidRPr="00B57286" w:rsidRDefault="00055309" w:rsidP="00174CC5">
      <w:pPr>
        <w:pStyle w:val="PargrafodaLista"/>
        <w:numPr>
          <w:ilvl w:val="0"/>
          <w:numId w:val="6"/>
        </w:numPr>
        <w:spacing w:before="40" w:after="40"/>
        <w:ind w:left="426" w:hanging="284"/>
        <w:rPr>
          <w:rFonts w:ascii="Times New Roman" w:hAnsi="Times New Roman"/>
        </w:rPr>
      </w:pPr>
      <w:r w:rsidRPr="00B57286">
        <w:rPr>
          <w:rFonts w:ascii="Times New Roman" w:hAnsi="Times New Roman"/>
          <w:b/>
        </w:rPr>
        <w:t>REGIÃO II (Região de Barreiras):</w:t>
      </w:r>
      <w:r w:rsidR="004C46A8">
        <w:rPr>
          <w:rFonts w:ascii="Times New Roman" w:hAnsi="Times New Roman"/>
          <w:b/>
        </w:rPr>
        <w:t xml:space="preserve"> </w:t>
      </w:r>
      <w:proofErr w:type="spellStart"/>
      <w:r w:rsidRPr="00B57286">
        <w:rPr>
          <w:rFonts w:ascii="Times New Roman" w:hAnsi="Times New Roman"/>
        </w:rPr>
        <w:t>Angical</w:t>
      </w:r>
      <w:proofErr w:type="spellEnd"/>
      <w:r w:rsidRPr="00B57286">
        <w:rPr>
          <w:rFonts w:ascii="Times New Roman" w:hAnsi="Times New Roman"/>
        </w:rPr>
        <w:t xml:space="preserve">, </w:t>
      </w:r>
      <w:proofErr w:type="spellStart"/>
      <w:r w:rsidRPr="00B57286">
        <w:rPr>
          <w:rFonts w:ascii="Times New Roman" w:hAnsi="Times New Roman"/>
        </w:rPr>
        <w:t>Baianópolis</w:t>
      </w:r>
      <w:proofErr w:type="spellEnd"/>
      <w:r w:rsidRPr="00B57286">
        <w:rPr>
          <w:rFonts w:ascii="Times New Roman" w:hAnsi="Times New Roman"/>
        </w:rPr>
        <w:t xml:space="preserve">, Barreiras, </w:t>
      </w:r>
      <w:proofErr w:type="spellStart"/>
      <w:r w:rsidRPr="00B57286">
        <w:rPr>
          <w:rFonts w:ascii="Times New Roman" w:hAnsi="Times New Roman"/>
        </w:rPr>
        <w:t>Buritirama</w:t>
      </w:r>
      <w:proofErr w:type="spellEnd"/>
      <w:r w:rsidRPr="00B57286">
        <w:rPr>
          <w:rFonts w:ascii="Times New Roman" w:hAnsi="Times New Roman"/>
        </w:rPr>
        <w:t xml:space="preserve">, </w:t>
      </w:r>
      <w:proofErr w:type="spellStart"/>
      <w:r w:rsidRPr="00B57286">
        <w:rPr>
          <w:rFonts w:ascii="Times New Roman" w:hAnsi="Times New Roman"/>
        </w:rPr>
        <w:t>Catolândia</w:t>
      </w:r>
      <w:proofErr w:type="spellEnd"/>
      <w:r w:rsidRPr="00B57286">
        <w:rPr>
          <w:rFonts w:ascii="Times New Roman" w:hAnsi="Times New Roman"/>
        </w:rPr>
        <w:t xml:space="preserve">, Cotegipe, </w:t>
      </w:r>
      <w:proofErr w:type="spellStart"/>
      <w:r w:rsidRPr="00B57286">
        <w:rPr>
          <w:rFonts w:ascii="Times New Roman" w:hAnsi="Times New Roman"/>
        </w:rPr>
        <w:t>Cristópolis</w:t>
      </w:r>
      <w:proofErr w:type="spellEnd"/>
      <w:r w:rsidRPr="00B57286">
        <w:rPr>
          <w:rFonts w:ascii="Times New Roman" w:hAnsi="Times New Roman"/>
        </w:rPr>
        <w:t xml:space="preserve">, Formosa do Rio Preto, Luís Eduardo Magalhães, Mansidão, Riachão das Neves, Santa Rita de Cássia, São </w:t>
      </w:r>
      <w:proofErr w:type="spellStart"/>
      <w:r w:rsidRPr="00B57286">
        <w:rPr>
          <w:rFonts w:ascii="Times New Roman" w:hAnsi="Times New Roman"/>
        </w:rPr>
        <w:t>Desidério</w:t>
      </w:r>
      <w:proofErr w:type="spellEnd"/>
      <w:r w:rsidRPr="00B57286">
        <w:rPr>
          <w:rFonts w:ascii="Times New Roman" w:hAnsi="Times New Roman"/>
        </w:rPr>
        <w:t>, Tabocas do Brejo Velho e Wanderley.</w:t>
      </w:r>
    </w:p>
    <w:p w:rsidR="00055309" w:rsidRPr="00B57286" w:rsidRDefault="00055309" w:rsidP="00174CC5">
      <w:pPr>
        <w:pStyle w:val="PargrafodaLista"/>
        <w:numPr>
          <w:ilvl w:val="0"/>
          <w:numId w:val="6"/>
        </w:numPr>
        <w:spacing w:before="40" w:after="40"/>
        <w:ind w:left="426" w:hanging="284"/>
        <w:rPr>
          <w:rFonts w:ascii="Times New Roman" w:hAnsi="Times New Roman"/>
        </w:rPr>
      </w:pPr>
      <w:r w:rsidRPr="00B57286">
        <w:rPr>
          <w:rFonts w:ascii="Times New Roman" w:hAnsi="Times New Roman"/>
          <w:b/>
        </w:rPr>
        <w:t>REGIÃO III (Região de Irecê):</w:t>
      </w:r>
      <w:r w:rsidRPr="00B57286">
        <w:rPr>
          <w:rFonts w:ascii="Times New Roman" w:hAnsi="Times New Roman"/>
        </w:rPr>
        <w:t xml:space="preserve"> Abaíra, América Dourada, Andaraí, </w:t>
      </w:r>
      <w:r w:rsidR="00A31CA2" w:rsidRPr="00B57286">
        <w:rPr>
          <w:rFonts w:ascii="Times New Roman" w:hAnsi="Times New Roman"/>
        </w:rPr>
        <w:t xml:space="preserve">Barra, </w:t>
      </w:r>
      <w:r w:rsidRPr="00B57286">
        <w:rPr>
          <w:rFonts w:ascii="Times New Roman" w:hAnsi="Times New Roman"/>
        </w:rPr>
        <w:t xml:space="preserve">Barra do Mendes, Barro Alto, </w:t>
      </w:r>
      <w:proofErr w:type="spellStart"/>
      <w:r w:rsidRPr="00B57286">
        <w:rPr>
          <w:rFonts w:ascii="Times New Roman" w:hAnsi="Times New Roman"/>
        </w:rPr>
        <w:t>Boninal</w:t>
      </w:r>
      <w:proofErr w:type="spellEnd"/>
      <w:r w:rsidRPr="00B57286">
        <w:rPr>
          <w:rFonts w:ascii="Times New Roman" w:hAnsi="Times New Roman"/>
        </w:rPr>
        <w:t xml:space="preserve">, Bonito, Brotas de Macaúbas, Cafarnaum, Canarana, Central, Gentio do Ouro, </w:t>
      </w:r>
      <w:proofErr w:type="spellStart"/>
      <w:r w:rsidRPr="00B57286">
        <w:rPr>
          <w:rFonts w:ascii="Times New Roman" w:hAnsi="Times New Roman"/>
        </w:rPr>
        <w:t>Ibipeba</w:t>
      </w:r>
      <w:proofErr w:type="spellEnd"/>
      <w:r w:rsidRPr="00B57286">
        <w:rPr>
          <w:rFonts w:ascii="Times New Roman" w:hAnsi="Times New Roman"/>
        </w:rPr>
        <w:t xml:space="preserve">, </w:t>
      </w:r>
      <w:proofErr w:type="spellStart"/>
      <w:r w:rsidRPr="00B57286">
        <w:rPr>
          <w:rFonts w:ascii="Times New Roman" w:hAnsi="Times New Roman"/>
        </w:rPr>
        <w:t>Ibitiara</w:t>
      </w:r>
      <w:proofErr w:type="spellEnd"/>
      <w:r w:rsidRPr="00B57286">
        <w:rPr>
          <w:rFonts w:ascii="Times New Roman" w:hAnsi="Times New Roman"/>
        </w:rPr>
        <w:t xml:space="preserve">, </w:t>
      </w:r>
      <w:proofErr w:type="spellStart"/>
      <w:r w:rsidRPr="00B57286">
        <w:rPr>
          <w:rFonts w:ascii="Times New Roman" w:hAnsi="Times New Roman"/>
        </w:rPr>
        <w:t>Ibititá</w:t>
      </w:r>
      <w:proofErr w:type="spellEnd"/>
      <w:r w:rsidRPr="00B57286">
        <w:rPr>
          <w:rFonts w:ascii="Times New Roman" w:hAnsi="Times New Roman"/>
        </w:rPr>
        <w:t xml:space="preserve">, </w:t>
      </w:r>
      <w:proofErr w:type="spellStart"/>
      <w:r w:rsidRPr="00B57286">
        <w:rPr>
          <w:rFonts w:ascii="Times New Roman" w:hAnsi="Times New Roman"/>
        </w:rPr>
        <w:t>Ipupiara</w:t>
      </w:r>
      <w:proofErr w:type="spellEnd"/>
      <w:r w:rsidRPr="00B57286">
        <w:rPr>
          <w:rFonts w:ascii="Times New Roman" w:hAnsi="Times New Roman"/>
        </w:rPr>
        <w:t xml:space="preserve">, </w:t>
      </w:r>
      <w:proofErr w:type="spellStart"/>
      <w:r w:rsidRPr="00B57286">
        <w:rPr>
          <w:rFonts w:ascii="Times New Roman" w:hAnsi="Times New Roman"/>
        </w:rPr>
        <w:t>Iraquara</w:t>
      </w:r>
      <w:proofErr w:type="spellEnd"/>
      <w:r w:rsidRPr="00B57286">
        <w:rPr>
          <w:rFonts w:ascii="Times New Roman" w:hAnsi="Times New Roman"/>
        </w:rPr>
        <w:t xml:space="preserve">, </w:t>
      </w:r>
      <w:proofErr w:type="spellStart"/>
      <w:r w:rsidRPr="00B57286">
        <w:rPr>
          <w:rFonts w:ascii="Times New Roman" w:hAnsi="Times New Roman"/>
        </w:rPr>
        <w:t>Irecê</w:t>
      </w:r>
      <w:proofErr w:type="spellEnd"/>
      <w:r w:rsidRPr="00B57286">
        <w:rPr>
          <w:rFonts w:ascii="Times New Roman" w:hAnsi="Times New Roman"/>
        </w:rPr>
        <w:t xml:space="preserve">, </w:t>
      </w:r>
      <w:proofErr w:type="spellStart"/>
      <w:r w:rsidRPr="00B57286">
        <w:rPr>
          <w:rFonts w:ascii="Times New Roman" w:hAnsi="Times New Roman"/>
        </w:rPr>
        <w:t>Itaguaçu</w:t>
      </w:r>
      <w:proofErr w:type="spellEnd"/>
      <w:r w:rsidRPr="00B57286">
        <w:rPr>
          <w:rFonts w:ascii="Times New Roman" w:hAnsi="Times New Roman"/>
        </w:rPr>
        <w:t xml:space="preserve"> da Bahia, João Dourado, Jussara, Lapão, Lençóis, Morro do Chapéu, </w:t>
      </w:r>
      <w:proofErr w:type="spellStart"/>
      <w:r w:rsidRPr="00B57286">
        <w:rPr>
          <w:rFonts w:ascii="Times New Roman" w:hAnsi="Times New Roman"/>
        </w:rPr>
        <w:t>Mucugê</w:t>
      </w:r>
      <w:proofErr w:type="spellEnd"/>
      <w:r w:rsidRPr="00B57286">
        <w:rPr>
          <w:rFonts w:ascii="Times New Roman" w:hAnsi="Times New Roman"/>
        </w:rPr>
        <w:t xml:space="preserve"> Mulungu do Morro, Novo Horizonte, Palmeiras, </w:t>
      </w:r>
      <w:proofErr w:type="spellStart"/>
      <w:r w:rsidRPr="00B57286">
        <w:rPr>
          <w:rFonts w:ascii="Times New Roman" w:hAnsi="Times New Roman"/>
        </w:rPr>
        <w:t>Piatã</w:t>
      </w:r>
      <w:proofErr w:type="spellEnd"/>
      <w:r w:rsidRPr="00B57286">
        <w:rPr>
          <w:rFonts w:ascii="Times New Roman" w:hAnsi="Times New Roman"/>
        </w:rPr>
        <w:t xml:space="preserve">, Presidente Dutra, São Gabriel, </w:t>
      </w:r>
      <w:proofErr w:type="spellStart"/>
      <w:r w:rsidRPr="00B57286">
        <w:rPr>
          <w:rFonts w:ascii="Times New Roman" w:hAnsi="Times New Roman"/>
        </w:rPr>
        <w:t>Seabra</w:t>
      </w:r>
      <w:proofErr w:type="spellEnd"/>
      <w:r w:rsidRPr="00B57286">
        <w:rPr>
          <w:rFonts w:ascii="Times New Roman" w:hAnsi="Times New Roman"/>
        </w:rPr>
        <w:t xml:space="preserve">, Souto Soares, </w:t>
      </w:r>
      <w:proofErr w:type="spellStart"/>
      <w:r w:rsidRPr="00B57286">
        <w:rPr>
          <w:rFonts w:ascii="Times New Roman" w:hAnsi="Times New Roman"/>
        </w:rPr>
        <w:t>Uibaí</w:t>
      </w:r>
      <w:proofErr w:type="spellEnd"/>
      <w:r w:rsidRPr="00B57286">
        <w:rPr>
          <w:rFonts w:ascii="Times New Roman" w:hAnsi="Times New Roman"/>
        </w:rPr>
        <w:t xml:space="preserve"> e Xique-Xique.</w:t>
      </w:r>
    </w:p>
    <w:p w:rsidR="00055309" w:rsidRPr="00B57286" w:rsidRDefault="00055309" w:rsidP="00174CC5">
      <w:pPr>
        <w:pStyle w:val="PargrafodaLista"/>
        <w:numPr>
          <w:ilvl w:val="0"/>
          <w:numId w:val="6"/>
        </w:numPr>
        <w:spacing w:before="40" w:after="40"/>
        <w:ind w:left="426" w:hanging="284"/>
        <w:rPr>
          <w:rFonts w:ascii="Times New Roman" w:hAnsi="Times New Roman"/>
        </w:rPr>
      </w:pPr>
      <w:r w:rsidRPr="00B57286">
        <w:rPr>
          <w:rFonts w:ascii="Times New Roman" w:hAnsi="Times New Roman"/>
          <w:b/>
        </w:rPr>
        <w:t xml:space="preserve">REGIÃO IV (Região de </w:t>
      </w:r>
      <w:proofErr w:type="spellStart"/>
      <w:r w:rsidRPr="00B57286">
        <w:rPr>
          <w:rFonts w:ascii="Times New Roman" w:hAnsi="Times New Roman"/>
          <w:b/>
        </w:rPr>
        <w:t>Guanambi</w:t>
      </w:r>
      <w:proofErr w:type="spellEnd"/>
      <w:r w:rsidRPr="00B57286">
        <w:rPr>
          <w:rFonts w:ascii="Times New Roman" w:hAnsi="Times New Roman"/>
          <w:b/>
        </w:rPr>
        <w:t>):</w:t>
      </w:r>
      <w:r w:rsidR="00C21C85">
        <w:rPr>
          <w:rFonts w:ascii="Times New Roman" w:hAnsi="Times New Roman"/>
          <w:b/>
        </w:rPr>
        <w:t xml:space="preserve"> </w:t>
      </w:r>
      <w:proofErr w:type="spellStart"/>
      <w:r w:rsidRPr="00B57286">
        <w:rPr>
          <w:rFonts w:ascii="Times New Roman" w:hAnsi="Times New Roman"/>
        </w:rPr>
        <w:t>Aracatu</w:t>
      </w:r>
      <w:proofErr w:type="spellEnd"/>
      <w:r w:rsidRPr="00B57286">
        <w:rPr>
          <w:rFonts w:ascii="Times New Roman" w:hAnsi="Times New Roman"/>
        </w:rPr>
        <w:t xml:space="preserve">, Barra da Estiva, Brumado, </w:t>
      </w:r>
      <w:proofErr w:type="spellStart"/>
      <w:r w:rsidRPr="00B57286">
        <w:rPr>
          <w:rFonts w:ascii="Times New Roman" w:hAnsi="Times New Roman"/>
        </w:rPr>
        <w:t>Caculé</w:t>
      </w:r>
      <w:proofErr w:type="spellEnd"/>
      <w:r w:rsidRPr="00B57286">
        <w:rPr>
          <w:rFonts w:ascii="Times New Roman" w:hAnsi="Times New Roman"/>
        </w:rPr>
        <w:t xml:space="preserve">, </w:t>
      </w:r>
      <w:proofErr w:type="spellStart"/>
      <w:r w:rsidRPr="00B57286">
        <w:rPr>
          <w:rFonts w:ascii="Times New Roman" w:hAnsi="Times New Roman"/>
        </w:rPr>
        <w:t>Caetité</w:t>
      </w:r>
      <w:proofErr w:type="spellEnd"/>
      <w:r w:rsidRPr="00B57286">
        <w:rPr>
          <w:rFonts w:ascii="Times New Roman" w:hAnsi="Times New Roman"/>
        </w:rPr>
        <w:t xml:space="preserve">, </w:t>
      </w:r>
      <w:proofErr w:type="spellStart"/>
      <w:r w:rsidRPr="00B57286">
        <w:rPr>
          <w:rFonts w:ascii="Times New Roman" w:hAnsi="Times New Roman"/>
        </w:rPr>
        <w:t>Candiba</w:t>
      </w:r>
      <w:proofErr w:type="spellEnd"/>
      <w:r w:rsidRPr="00B57286">
        <w:rPr>
          <w:rFonts w:ascii="Times New Roman" w:hAnsi="Times New Roman"/>
        </w:rPr>
        <w:t xml:space="preserve">, </w:t>
      </w:r>
      <w:proofErr w:type="spellStart"/>
      <w:r w:rsidRPr="00B57286">
        <w:rPr>
          <w:rFonts w:ascii="Times New Roman" w:hAnsi="Times New Roman"/>
        </w:rPr>
        <w:t>Condeúba</w:t>
      </w:r>
      <w:proofErr w:type="spellEnd"/>
      <w:r w:rsidRPr="00B57286">
        <w:rPr>
          <w:rFonts w:ascii="Times New Roman" w:hAnsi="Times New Roman"/>
        </w:rPr>
        <w:t xml:space="preserve">, Cordeiros, Contendas do </w:t>
      </w:r>
      <w:proofErr w:type="spellStart"/>
      <w:r w:rsidRPr="00B57286">
        <w:rPr>
          <w:rFonts w:ascii="Times New Roman" w:hAnsi="Times New Roman"/>
        </w:rPr>
        <w:t>Sincorá</w:t>
      </w:r>
      <w:proofErr w:type="spellEnd"/>
      <w:r w:rsidRPr="00B57286">
        <w:rPr>
          <w:rFonts w:ascii="Times New Roman" w:hAnsi="Times New Roman"/>
        </w:rPr>
        <w:t xml:space="preserve">, </w:t>
      </w:r>
      <w:proofErr w:type="spellStart"/>
      <w:r w:rsidRPr="00B57286">
        <w:rPr>
          <w:rFonts w:ascii="Times New Roman" w:hAnsi="Times New Roman"/>
        </w:rPr>
        <w:t>Guajeru</w:t>
      </w:r>
      <w:proofErr w:type="spellEnd"/>
      <w:r w:rsidRPr="00B57286">
        <w:rPr>
          <w:rFonts w:ascii="Times New Roman" w:hAnsi="Times New Roman"/>
        </w:rPr>
        <w:t xml:space="preserve">, </w:t>
      </w:r>
      <w:proofErr w:type="spellStart"/>
      <w:r w:rsidRPr="00B57286">
        <w:rPr>
          <w:rFonts w:ascii="Times New Roman" w:hAnsi="Times New Roman"/>
        </w:rPr>
        <w:t>Guanambi</w:t>
      </w:r>
      <w:proofErr w:type="spellEnd"/>
      <w:r w:rsidRPr="00B57286">
        <w:rPr>
          <w:rFonts w:ascii="Times New Roman" w:hAnsi="Times New Roman"/>
        </w:rPr>
        <w:t xml:space="preserve">, </w:t>
      </w:r>
      <w:proofErr w:type="spellStart"/>
      <w:r w:rsidRPr="00B57286">
        <w:rPr>
          <w:rFonts w:ascii="Times New Roman" w:hAnsi="Times New Roman"/>
        </w:rPr>
        <w:lastRenderedPageBreak/>
        <w:t>Guaratinga</w:t>
      </w:r>
      <w:proofErr w:type="spellEnd"/>
      <w:r w:rsidRPr="00B57286">
        <w:rPr>
          <w:rFonts w:ascii="Times New Roman" w:hAnsi="Times New Roman"/>
        </w:rPr>
        <w:t xml:space="preserve">, </w:t>
      </w:r>
      <w:proofErr w:type="spellStart"/>
      <w:r w:rsidRPr="00B57286">
        <w:rPr>
          <w:rFonts w:ascii="Times New Roman" w:hAnsi="Times New Roman"/>
        </w:rPr>
        <w:t>Ibiassucê</w:t>
      </w:r>
      <w:proofErr w:type="spellEnd"/>
      <w:r w:rsidRPr="00B57286">
        <w:rPr>
          <w:rFonts w:ascii="Times New Roman" w:hAnsi="Times New Roman"/>
        </w:rPr>
        <w:t xml:space="preserve">, </w:t>
      </w:r>
      <w:proofErr w:type="spellStart"/>
      <w:r w:rsidRPr="00B57286">
        <w:rPr>
          <w:rFonts w:ascii="Times New Roman" w:hAnsi="Times New Roman"/>
        </w:rPr>
        <w:t>Ibicoara</w:t>
      </w:r>
      <w:proofErr w:type="spellEnd"/>
      <w:r w:rsidRPr="00B57286">
        <w:rPr>
          <w:rFonts w:ascii="Times New Roman" w:hAnsi="Times New Roman"/>
        </w:rPr>
        <w:t xml:space="preserve">, </w:t>
      </w:r>
      <w:proofErr w:type="spellStart"/>
      <w:r w:rsidRPr="00B57286">
        <w:rPr>
          <w:rFonts w:ascii="Times New Roman" w:hAnsi="Times New Roman"/>
        </w:rPr>
        <w:t>Iramaia</w:t>
      </w:r>
      <w:proofErr w:type="spellEnd"/>
      <w:r w:rsidRPr="00B57286">
        <w:rPr>
          <w:rFonts w:ascii="Times New Roman" w:hAnsi="Times New Roman"/>
        </w:rPr>
        <w:t xml:space="preserve">, Itororó, </w:t>
      </w:r>
      <w:proofErr w:type="spellStart"/>
      <w:r w:rsidRPr="00B57286">
        <w:rPr>
          <w:rFonts w:ascii="Times New Roman" w:hAnsi="Times New Roman"/>
        </w:rPr>
        <w:t>Ituaçu</w:t>
      </w:r>
      <w:proofErr w:type="spellEnd"/>
      <w:r w:rsidRPr="00B57286">
        <w:rPr>
          <w:rFonts w:ascii="Times New Roman" w:hAnsi="Times New Roman"/>
        </w:rPr>
        <w:t xml:space="preserve">, </w:t>
      </w:r>
      <w:proofErr w:type="spellStart"/>
      <w:r w:rsidRPr="00B57286">
        <w:rPr>
          <w:rFonts w:ascii="Times New Roman" w:hAnsi="Times New Roman"/>
        </w:rPr>
        <w:t>Iuiu</w:t>
      </w:r>
      <w:proofErr w:type="spellEnd"/>
      <w:r w:rsidRPr="00B57286">
        <w:rPr>
          <w:rFonts w:ascii="Times New Roman" w:hAnsi="Times New Roman"/>
        </w:rPr>
        <w:t xml:space="preserve">, </w:t>
      </w:r>
      <w:proofErr w:type="spellStart"/>
      <w:r w:rsidRPr="00B57286">
        <w:rPr>
          <w:rFonts w:ascii="Times New Roman" w:hAnsi="Times New Roman"/>
        </w:rPr>
        <w:t>Jacaraci</w:t>
      </w:r>
      <w:proofErr w:type="spellEnd"/>
      <w:r w:rsidRPr="00B57286">
        <w:rPr>
          <w:rFonts w:ascii="Times New Roman" w:hAnsi="Times New Roman"/>
        </w:rPr>
        <w:t xml:space="preserve">, Lafaiete Coutinho, Lagoa Real, Licínio de Almeida, Maetinga, Malhada, Malhada de Pedras, Maracás, </w:t>
      </w:r>
      <w:proofErr w:type="spellStart"/>
      <w:r w:rsidRPr="00B57286">
        <w:rPr>
          <w:rFonts w:ascii="Times New Roman" w:hAnsi="Times New Roman"/>
        </w:rPr>
        <w:t>Mortugaba</w:t>
      </w:r>
      <w:proofErr w:type="spellEnd"/>
      <w:r w:rsidRPr="00B57286">
        <w:rPr>
          <w:rFonts w:ascii="Times New Roman" w:hAnsi="Times New Roman"/>
        </w:rPr>
        <w:t xml:space="preserve">, Palmas de Monte Alto, </w:t>
      </w:r>
      <w:proofErr w:type="spellStart"/>
      <w:r w:rsidRPr="00B57286">
        <w:rPr>
          <w:rFonts w:ascii="Times New Roman" w:hAnsi="Times New Roman"/>
        </w:rPr>
        <w:t>Pindaí</w:t>
      </w:r>
      <w:proofErr w:type="spellEnd"/>
      <w:r w:rsidRPr="00B57286">
        <w:rPr>
          <w:rFonts w:ascii="Times New Roman" w:hAnsi="Times New Roman"/>
        </w:rPr>
        <w:t xml:space="preserve">, </w:t>
      </w:r>
      <w:proofErr w:type="spellStart"/>
      <w:r w:rsidRPr="00B57286">
        <w:rPr>
          <w:rFonts w:ascii="Times New Roman" w:hAnsi="Times New Roman"/>
        </w:rPr>
        <w:t>Piripá</w:t>
      </w:r>
      <w:proofErr w:type="spellEnd"/>
      <w:r w:rsidRPr="00B57286">
        <w:rPr>
          <w:rFonts w:ascii="Times New Roman" w:hAnsi="Times New Roman"/>
        </w:rPr>
        <w:t xml:space="preserve">, </w:t>
      </w:r>
      <w:proofErr w:type="spellStart"/>
      <w:r w:rsidRPr="00B57286">
        <w:rPr>
          <w:rFonts w:ascii="Times New Roman" w:hAnsi="Times New Roman"/>
        </w:rPr>
        <w:t>Planaltino</w:t>
      </w:r>
      <w:proofErr w:type="spellEnd"/>
      <w:r w:rsidRPr="00B57286">
        <w:rPr>
          <w:rFonts w:ascii="Times New Roman" w:hAnsi="Times New Roman"/>
        </w:rPr>
        <w:t xml:space="preserve">, Presidente Jânio Quadros, Rio do Antônio, Sebastião </w:t>
      </w:r>
      <w:proofErr w:type="spellStart"/>
      <w:r w:rsidRPr="00B57286">
        <w:rPr>
          <w:rFonts w:ascii="Times New Roman" w:hAnsi="Times New Roman"/>
        </w:rPr>
        <w:t>Larajeiras</w:t>
      </w:r>
      <w:proofErr w:type="spellEnd"/>
      <w:r w:rsidRPr="00B57286">
        <w:rPr>
          <w:rFonts w:ascii="Times New Roman" w:hAnsi="Times New Roman"/>
        </w:rPr>
        <w:t xml:space="preserve">, </w:t>
      </w:r>
      <w:proofErr w:type="spellStart"/>
      <w:r w:rsidRPr="00B57286">
        <w:rPr>
          <w:rFonts w:ascii="Times New Roman" w:hAnsi="Times New Roman"/>
        </w:rPr>
        <w:t>Tanhaçu</w:t>
      </w:r>
      <w:proofErr w:type="spellEnd"/>
      <w:r w:rsidRPr="00B57286">
        <w:rPr>
          <w:rFonts w:ascii="Times New Roman" w:hAnsi="Times New Roman"/>
        </w:rPr>
        <w:t xml:space="preserve">, </w:t>
      </w:r>
      <w:proofErr w:type="spellStart"/>
      <w:r w:rsidRPr="00B57286">
        <w:rPr>
          <w:rFonts w:ascii="Times New Roman" w:hAnsi="Times New Roman"/>
        </w:rPr>
        <w:t>Urandi</w:t>
      </w:r>
      <w:proofErr w:type="spellEnd"/>
      <w:r w:rsidRPr="00B57286">
        <w:rPr>
          <w:rFonts w:ascii="Times New Roman" w:hAnsi="Times New Roman"/>
        </w:rPr>
        <w:t>.</w:t>
      </w:r>
    </w:p>
    <w:p w:rsidR="00055309" w:rsidRPr="00B57286" w:rsidRDefault="00055309" w:rsidP="00174CC5">
      <w:pPr>
        <w:pStyle w:val="PargrafodaLista"/>
        <w:numPr>
          <w:ilvl w:val="0"/>
          <w:numId w:val="6"/>
        </w:numPr>
        <w:spacing w:before="40" w:after="40"/>
        <w:ind w:left="426" w:hanging="284"/>
        <w:rPr>
          <w:rFonts w:ascii="Times New Roman" w:hAnsi="Times New Roman"/>
        </w:rPr>
      </w:pPr>
      <w:r w:rsidRPr="00B57286">
        <w:rPr>
          <w:rFonts w:ascii="Times New Roman" w:hAnsi="Times New Roman"/>
          <w:b/>
        </w:rPr>
        <w:t>REGIÃO V (Região de Vitória da Conquista):</w:t>
      </w:r>
      <w:r w:rsidR="00C21C85">
        <w:rPr>
          <w:rFonts w:ascii="Times New Roman" w:hAnsi="Times New Roman"/>
          <w:b/>
        </w:rPr>
        <w:t xml:space="preserve"> </w:t>
      </w:r>
      <w:proofErr w:type="spellStart"/>
      <w:r w:rsidRPr="00B57286">
        <w:rPr>
          <w:rFonts w:ascii="Times New Roman" w:hAnsi="Times New Roman"/>
        </w:rPr>
        <w:t>Aiquara</w:t>
      </w:r>
      <w:proofErr w:type="spellEnd"/>
      <w:r w:rsidRPr="00B57286">
        <w:rPr>
          <w:rFonts w:ascii="Times New Roman" w:hAnsi="Times New Roman"/>
        </w:rPr>
        <w:t xml:space="preserve">, </w:t>
      </w:r>
      <w:proofErr w:type="spellStart"/>
      <w:r w:rsidRPr="00B57286">
        <w:rPr>
          <w:rFonts w:ascii="Times New Roman" w:hAnsi="Times New Roman"/>
        </w:rPr>
        <w:t>Alcobaça</w:t>
      </w:r>
      <w:proofErr w:type="spellEnd"/>
      <w:r w:rsidRPr="00B57286">
        <w:rPr>
          <w:rFonts w:ascii="Times New Roman" w:hAnsi="Times New Roman"/>
        </w:rPr>
        <w:t xml:space="preserve">, </w:t>
      </w:r>
      <w:proofErr w:type="spellStart"/>
      <w:r w:rsidRPr="00B57286">
        <w:rPr>
          <w:rFonts w:ascii="Times New Roman" w:hAnsi="Times New Roman"/>
        </w:rPr>
        <w:t>Almadia</w:t>
      </w:r>
      <w:proofErr w:type="spellEnd"/>
      <w:r w:rsidRPr="00B57286">
        <w:rPr>
          <w:rFonts w:ascii="Times New Roman" w:hAnsi="Times New Roman"/>
        </w:rPr>
        <w:t xml:space="preserve">, </w:t>
      </w:r>
      <w:proofErr w:type="spellStart"/>
      <w:r w:rsidRPr="00B57286">
        <w:rPr>
          <w:rFonts w:ascii="Times New Roman" w:hAnsi="Times New Roman"/>
        </w:rPr>
        <w:t>Anagé</w:t>
      </w:r>
      <w:proofErr w:type="spellEnd"/>
      <w:r w:rsidRPr="00B57286">
        <w:rPr>
          <w:rFonts w:ascii="Times New Roman" w:hAnsi="Times New Roman"/>
        </w:rPr>
        <w:t xml:space="preserve">, Apuarema, Arataca, Aurelino Leal, Barra </w:t>
      </w:r>
      <w:proofErr w:type="gramStart"/>
      <w:r w:rsidRPr="00B57286">
        <w:rPr>
          <w:rFonts w:ascii="Times New Roman" w:hAnsi="Times New Roman"/>
        </w:rPr>
        <w:t>do Choça</w:t>
      </w:r>
      <w:proofErr w:type="gramEnd"/>
      <w:r w:rsidRPr="00B57286">
        <w:rPr>
          <w:rFonts w:ascii="Times New Roman" w:hAnsi="Times New Roman"/>
        </w:rPr>
        <w:t xml:space="preserve">, Barra do Rocha, Barro Preto, Belmonte, Belo Campo, Boa Nova, Bom Jesus da Serra, </w:t>
      </w:r>
      <w:proofErr w:type="spellStart"/>
      <w:r w:rsidRPr="00B57286">
        <w:rPr>
          <w:rFonts w:ascii="Times New Roman" w:hAnsi="Times New Roman"/>
        </w:rPr>
        <w:t>Buerarema</w:t>
      </w:r>
      <w:proofErr w:type="spellEnd"/>
      <w:r w:rsidRPr="00B57286">
        <w:rPr>
          <w:rFonts w:ascii="Times New Roman" w:hAnsi="Times New Roman"/>
        </w:rPr>
        <w:t xml:space="preserve">, </w:t>
      </w:r>
      <w:proofErr w:type="spellStart"/>
      <w:r w:rsidRPr="00B57286">
        <w:rPr>
          <w:rFonts w:ascii="Times New Roman" w:hAnsi="Times New Roman"/>
        </w:rPr>
        <w:t>Caatiba</w:t>
      </w:r>
      <w:proofErr w:type="spellEnd"/>
      <w:r w:rsidRPr="00B57286">
        <w:rPr>
          <w:rFonts w:ascii="Times New Roman" w:hAnsi="Times New Roman"/>
        </w:rPr>
        <w:t xml:space="preserve">, </w:t>
      </w:r>
      <w:proofErr w:type="spellStart"/>
      <w:r w:rsidRPr="00B57286">
        <w:rPr>
          <w:rFonts w:ascii="Times New Roman" w:hAnsi="Times New Roman"/>
        </w:rPr>
        <w:t>Caetanos</w:t>
      </w:r>
      <w:proofErr w:type="spellEnd"/>
      <w:r w:rsidRPr="00B57286">
        <w:rPr>
          <w:rFonts w:ascii="Times New Roman" w:hAnsi="Times New Roman"/>
        </w:rPr>
        <w:t xml:space="preserve">, </w:t>
      </w:r>
      <w:proofErr w:type="spellStart"/>
      <w:r w:rsidRPr="00B57286">
        <w:rPr>
          <w:rFonts w:ascii="Times New Roman" w:hAnsi="Times New Roman"/>
        </w:rPr>
        <w:t>Camacan</w:t>
      </w:r>
      <w:proofErr w:type="spellEnd"/>
      <w:r w:rsidRPr="00B57286">
        <w:rPr>
          <w:rFonts w:ascii="Times New Roman" w:hAnsi="Times New Roman"/>
        </w:rPr>
        <w:t xml:space="preserve">, Canavieiras, Cândido Sales, Caraíbas, Caravelas, Coaraci, Dário Meira, Encruzilhada, Eunápolis, Firmino Alves, Floresta Azul, </w:t>
      </w:r>
      <w:proofErr w:type="spellStart"/>
      <w:r w:rsidRPr="00B57286">
        <w:rPr>
          <w:rFonts w:ascii="Times New Roman" w:hAnsi="Times New Roman"/>
        </w:rPr>
        <w:t>Gongogi</w:t>
      </w:r>
      <w:proofErr w:type="spellEnd"/>
      <w:r w:rsidRPr="00B57286">
        <w:rPr>
          <w:rFonts w:ascii="Times New Roman" w:hAnsi="Times New Roman"/>
        </w:rPr>
        <w:t xml:space="preserve">, </w:t>
      </w:r>
      <w:proofErr w:type="spellStart"/>
      <w:r w:rsidRPr="00B57286">
        <w:rPr>
          <w:rFonts w:ascii="Times New Roman" w:hAnsi="Times New Roman"/>
        </w:rPr>
        <w:t>Guaratinga</w:t>
      </w:r>
      <w:proofErr w:type="spellEnd"/>
      <w:r w:rsidRPr="00B57286">
        <w:rPr>
          <w:rFonts w:ascii="Times New Roman" w:hAnsi="Times New Roman"/>
        </w:rPr>
        <w:t xml:space="preserve">, </w:t>
      </w:r>
      <w:proofErr w:type="spellStart"/>
      <w:r w:rsidRPr="00B57286">
        <w:rPr>
          <w:rFonts w:ascii="Times New Roman" w:hAnsi="Times New Roman"/>
        </w:rPr>
        <w:t>Ibicaraí</w:t>
      </w:r>
      <w:proofErr w:type="spellEnd"/>
      <w:r w:rsidRPr="00B57286">
        <w:rPr>
          <w:rFonts w:ascii="Times New Roman" w:hAnsi="Times New Roman"/>
        </w:rPr>
        <w:t xml:space="preserve">, </w:t>
      </w:r>
      <w:proofErr w:type="spellStart"/>
      <w:r w:rsidRPr="00B57286">
        <w:rPr>
          <w:rFonts w:ascii="Times New Roman" w:hAnsi="Times New Roman"/>
        </w:rPr>
        <w:t>Ibicuí</w:t>
      </w:r>
      <w:proofErr w:type="spellEnd"/>
      <w:r w:rsidRPr="00B57286">
        <w:rPr>
          <w:rFonts w:ascii="Times New Roman" w:hAnsi="Times New Roman"/>
        </w:rPr>
        <w:t xml:space="preserve">, Ibirapitanga, </w:t>
      </w:r>
      <w:proofErr w:type="spellStart"/>
      <w:r w:rsidRPr="00B57286">
        <w:rPr>
          <w:rFonts w:ascii="Times New Roman" w:hAnsi="Times New Roman"/>
        </w:rPr>
        <w:t>Ibirapuã</w:t>
      </w:r>
      <w:proofErr w:type="spellEnd"/>
      <w:r w:rsidRPr="00B57286">
        <w:rPr>
          <w:rFonts w:ascii="Times New Roman" w:hAnsi="Times New Roman"/>
        </w:rPr>
        <w:t xml:space="preserve">, </w:t>
      </w:r>
      <w:proofErr w:type="spellStart"/>
      <w:r w:rsidRPr="00B57286">
        <w:rPr>
          <w:rFonts w:ascii="Times New Roman" w:hAnsi="Times New Roman"/>
        </w:rPr>
        <w:t>Ibirataia</w:t>
      </w:r>
      <w:proofErr w:type="spellEnd"/>
      <w:r w:rsidRPr="00B57286">
        <w:rPr>
          <w:rFonts w:ascii="Times New Roman" w:hAnsi="Times New Roman"/>
        </w:rPr>
        <w:t xml:space="preserve">, </w:t>
      </w:r>
      <w:proofErr w:type="spellStart"/>
      <w:r w:rsidRPr="00B57286">
        <w:rPr>
          <w:rFonts w:ascii="Times New Roman" w:hAnsi="Times New Roman"/>
        </w:rPr>
        <w:t>Iguaí</w:t>
      </w:r>
      <w:proofErr w:type="spellEnd"/>
      <w:r w:rsidRPr="00B57286">
        <w:rPr>
          <w:rFonts w:ascii="Times New Roman" w:hAnsi="Times New Roman"/>
        </w:rPr>
        <w:t xml:space="preserve">, Ilhéus, </w:t>
      </w:r>
      <w:proofErr w:type="spellStart"/>
      <w:r w:rsidRPr="00B57286">
        <w:rPr>
          <w:rFonts w:ascii="Times New Roman" w:hAnsi="Times New Roman"/>
        </w:rPr>
        <w:t>Ipiaú</w:t>
      </w:r>
      <w:proofErr w:type="spellEnd"/>
      <w:r w:rsidRPr="00B57286">
        <w:rPr>
          <w:rFonts w:ascii="Times New Roman" w:hAnsi="Times New Roman"/>
        </w:rPr>
        <w:t xml:space="preserve">, </w:t>
      </w:r>
      <w:proofErr w:type="spellStart"/>
      <w:r w:rsidRPr="00B57286">
        <w:rPr>
          <w:rFonts w:ascii="Times New Roman" w:hAnsi="Times New Roman"/>
        </w:rPr>
        <w:t>Itabela</w:t>
      </w:r>
      <w:proofErr w:type="spellEnd"/>
      <w:r w:rsidRPr="00B57286">
        <w:rPr>
          <w:rFonts w:ascii="Times New Roman" w:hAnsi="Times New Roman"/>
        </w:rPr>
        <w:t xml:space="preserve">, Itabuna, </w:t>
      </w:r>
      <w:proofErr w:type="spellStart"/>
      <w:r w:rsidRPr="00B57286">
        <w:rPr>
          <w:rFonts w:ascii="Times New Roman" w:hAnsi="Times New Roman"/>
        </w:rPr>
        <w:t>Itacaré</w:t>
      </w:r>
      <w:proofErr w:type="spellEnd"/>
      <w:r w:rsidRPr="00B57286">
        <w:rPr>
          <w:rFonts w:ascii="Times New Roman" w:hAnsi="Times New Roman"/>
        </w:rPr>
        <w:t xml:space="preserve">, </w:t>
      </w:r>
      <w:proofErr w:type="spellStart"/>
      <w:r w:rsidRPr="00B57286">
        <w:rPr>
          <w:rFonts w:ascii="Times New Roman" w:hAnsi="Times New Roman"/>
        </w:rPr>
        <w:t>Itagi</w:t>
      </w:r>
      <w:proofErr w:type="spellEnd"/>
      <w:r w:rsidRPr="00B57286">
        <w:rPr>
          <w:rFonts w:ascii="Times New Roman" w:hAnsi="Times New Roman"/>
        </w:rPr>
        <w:t xml:space="preserve">, </w:t>
      </w:r>
      <w:proofErr w:type="spellStart"/>
      <w:r w:rsidRPr="00B57286">
        <w:rPr>
          <w:rFonts w:ascii="Times New Roman" w:hAnsi="Times New Roman"/>
        </w:rPr>
        <w:t>Itagimirim</w:t>
      </w:r>
      <w:proofErr w:type="spellEnd"/>
      <w:r w:rsidRPr="00B57286">
        <w:rPr>
          <w:rFonts w:ascii="Times New Roman" w:hAnsi="Times New Roman"/>
        </w:rPr>
        <w:t xml:space="preserve">, </w:t>
      </w:r>
      <w:proofErr w:type="spellStart"/>
      <w:r w:rsidRPr="00B57286">
        <w:rPr>
          <w:rFonts w:ascii="Times New Roman" w:hAnsi="Times New Roman"/>
        </w:rPr>
        <w:t>Itagibá</w:t>
      </w:r>
      <w:proofErr w:type="spellEnd"/>
      <w:r w:rsidRPr="00B57286">
        <w:rPr>
          <w:rFonts w:ascii="Times New Roman" w:hAnsi="Times New Roman"/>
        </w:rPr>
        <w:t xml:space="preserve">, </w:t>
      </w:r>
      <w:proofErr w:type="spellStart"/>
      <w:r w:rsidRPr="00B57286">
        <w:rPr>
          <w:rFonts w:ascii="Times New Roman" w:hAnsi="Times New Roman"/>
        </w:rPr>
        <w:t>Itapebi</w:t>
      </w:r>
      <w:proofErr w:type="spellEnd"/>
      <w:r w:rsidRPr="00B57286">
        <w:rPr>
          <w:rFonts w:ascii="Times New Roman" w:hAnsi="Times New Roman"/>
        </w:rPr>
        <w:t xml:space="preserve">,  </w:t>
      </w:r>
      <w:proofErr w:type="spellStart"/>
      <w:r w:rsidRPr="00B57286">
        <w:rPr>
          <w:rFonts w:ascii="Times New Roman" w:hAnsi="Times New Roman"/>
        </w:rPr>
        <w:t>Itaju</w:t>
      </w:r>
      <w:proofErr w:type="spellEnd"/>
      <w:r w:rsidRPr="00B57286">
        <w:rPr>
          <w:rFonts w:ascii="Times New Roman" w:hAnsi="Times New Roman"/>
        </w:rPr>
        <w:t xml:space="preserve"> do Colônia, </w:t>
      </w:r>
      <w:proofErr w:type="spellStart"/>
      <w:r w:rsidRPr="00B57286">
        <w:rPr>
          <w:rFonts w:ascii="Times New Roman" w:hAnsi="Times New Roman"/>
        </w:rPr>
        <w:t>Itajuípe</w:t>
      </w:r>
      <w:proofErr w:type="spellEnd"/>
      <w:r w:rsidRPr="00B57286">
        <w:rPr>
          <w:rFonts w:ascii="Times New Roman" w:hAnsi="Times New Roman"/>
        </w:rPr>
        <w:t xml:space="preserve">, </w:t>
      </w:r>
      <w:proofErr w:type="spellStart"/>
      <w:r w:rsidRPr="00B57286">
        <w:rPr>
          <w:rFonts w:ascii="Times New Roman" w:hAnsi="Times New Roman"/>
        </w:rPr>
        <w:t>Itamaraju</w:t>
      </w:r>
      <w:proofErr w:type="spellEnd"/>
      <w:r w:rsidRPr="00B57286">
        <w:rPr>
          <w:rFonts w:ascii="Times New Roman" w:hAnsi="Times New Roman"/>
        </w:rPr>
        <w:t xml:space="preserve">, </w:t>
      </w:r>
      <w:proofErr w:type="spellStart"/>
      <w:r w:rsidRPr="00B57286">
        <w:rPr>
          <w:rFonts w:ascii="Times New Roman" w:hAnsi="Times New Roman"/>
        </w:rPr>
        <w:t>Itamari</w:t>
      </w:r>
      <w:proofErr w:type="spellEnd"/>
      <w:r w:rsidRPr="00B57286">
        <w:rPr>
          <w:rFonts w:ascii="Times New Roman" w:hAnsi="Times New Roman"/>
        </w:rPr>
        <w:t xml:space="preserve">, </w:t>
      </w:r>
      <w:proofErr w:type="spellStart"/>
      <w:r w:rsidRPr="00B57286">
        <w:rPr>
          <w:rFonts w:ascii="Times New Roman" w:hAnsi="Times New Roman"/>
        </w:rPr>
        <w:t>Itambém</w:t>
      </w:r>
      <w:proofErr w:type="spellEnd"/>
      <w:r w:rsidRPr="00B57286">
        <w:rPr>
          <w:rFonts w:ascii="Times New Roman" w:hAnsi="Times New Roman"/>
        </w:rPr>
        <w:t xml:space="preserve">, </w:t>
      </w:r>
      <w:proofErr w:type="spellStart"/>
      <w:r w:rsidRPr="00B57286">
        <w:rPr>
          <w:rFonts w:ascii="Times New Roman" w:hAnsi="Times New Roman"/>
        </w:rPr>
        <w:t>Itanhém</w:t>
      </w:r>
      <w:proofErr w:type="spellEnd"/>
      <w:r w:rsidRPr="00B57286">
        <w:rPr>
          <w:rFonts w:ascii="Times New Roman" w:hAnsi="Times New Roman"/>
        </w:rPr>
        <w:t xml:space="preserve">, </w:t>
      </w:r>
      <w:proofErr w:type="spellStart"/>
      <w:r w:rsidRPr="00B57286">
        <w:rPr>
          <w:rFonts w:ascii="Times New Roman" w:hAnsi="Times New Roman"/>
        </w:rPr>
        <w:t>Itapé</w:t>
      </w:r>
      <w:proofErr w:type="spellEnd"/>
      <w:r w:rsidRPr="00B57286">
        <w:rPr>
          <w:rFonts w:ascii="Times New Roman" w:hAnsi="Times New Roman"/>
        </w:rPr>
        <w:t xml:space="preserve">, Itapetinga, </w:t>
      </w:r>
      <w:proofErr w:type="spellStart"/>
      <w:r w:rsidRPr="00B57286">
        <w:rPr>
          <w:rFonts w:ascii="Times New Roman" w:hAnsi="Times New Roman"/>
        </w:rPr>
        <w:t>Itapitanga</w:t>
      </w:r>
      <w:proofErr w:type="spellEnd"/>
      <w:r w:rsidRPr="00B57286">
        <w:rPr>
          <w:rFonts w:ascii="Times New Roman" w:hAnsi="Times New Roman"/>
        </w:rPr>
        <w:t xml:space="preserve">, </w:t>
      </w:r>
      <w:proofErr w:type="spellStart"/>
      <w:r w:rsidRPr="00B57286">
        <w:rPr>
          <w:rFonts w:ascii="Times New Roman" w:hAnsi="Times New Roman"/>
        </w:rPr>
        <w:t>Itarantim</w:t>
      </w:r>
      <w:proofErr w:type="spellEnd"/>
      <w:r w:rsidRPr="00B57286">
        <w:rPr>
          <w:rFonts w:ascii="Times New Roman" w:hAnsi="Times New Roman"/>
        </w:rPr>
        <w:t xml:space="preserve">, Itororó, Jequié, </w:t>
      </w:r>
      <w:proofErr w:type="spellStart"/>
      <w:r w:rsidRPr="00B57286">
        <w:rPr>
          <w:rFonts w:ascii="Times New Roman" w:hAnsi="Times New Roman"/>
        </w:rPr>
        <w:t>Jitaúna</w:t>
      </w:r>
      <w:proofErr w:type="spellEnd"/>
      <w:r w:rsidRPr="00B57286">
        <w:rPr>
          <w:rFonts w:ascii="Times New Roman" w:hAnsi="Times New Roman"/>
        </w:rPr>
        <w:t xml:space="preserve">, </w:t>
      </w:r>
      <w:proofErr w:type="spellStart"/>
      <w:r w:rsidRPr="00B57286">
        <w:rPr>
          <w:rFonts w:ascii="Times New Roman" w:hAnsi="Times New Roman"/>
        </w:rPr>
        <w:t>Jucuruçu</w:t>
      </w:r>
      <w:proofErr w:type="spellEnd"/>
      <w:r w:rsidRPr="00B57286">
        <w:rPr>
          <w:rFonts w:ascii="Times New Roman" w:hAnsi="Times New Roman"/>
        </w:rPr>
        <w:t xml:space="preserve">, </w:t>
      </w:r>
      <w:proofErr w:type="spellStart"/>
      <w:r w:rsidRPr="00B57286">
        <w:rPr>
          <w:rFonts w:ascii="Times New Roman" w:hAnsi="Times New Roman"/>
        </w:rPr>
        <w:t>Jussari</w:t>
      </w:r>
      <w:proofErr w:type="spellEnd"/>
      <w:r w:rsidRPr="00B57286">
        <w:rPr>
          <w:rFonts w:ascii="Times New Roman" w:hAnsi="Times New Roman"/>
        </w:rPr>
        <w:t xml:space="preserve">, </w:t>
      </w:r>
      <w:proofErr w:type="spellStart"/>
      <w:r w:rsidRPr="00B57286">
        <w:rPr>
          <w:rFonts w:ascii="Times New Roman" w:hAnsi="Times New Roman"/>
        </w:rPr>
        <w:t>Lajedão</w:t>
      </w:r>
      <w:proofErr w:type="spellEnd"/>
      <w:r w:rsidRPr="00B57286">
        <w:rPr>
          <w:rFonts w:ascii="Times New Roman" w:hAnsi="Times New Roman"/>
        </w:rPr>
        <w:t xml:space="preserve">, </w:t>
      </w:r>
      <w:proofErr w:type="spellStart"/>
      <w:r w:rsidRPr="00B57286">
        <w:rPr>
          <w:rFonts w:ascii="Times New Roman" w:hAnsi="Times New Roman"/>
        </w:rPr>
        <w:t>Macarani</w:t>
      </w:r>
      <w:proofErr w:type="spellEnd"/>
      <w:r w:rsidRPr="00B57286">
        <w:rPr>
          <w:rFonts w:ascii="Times New Roman" w:hAnsi="Times New Roman"/>
        </w:rPr>
        <w:t xml:space="preserve">, </w:t>
      </w:r>
      <w:proofErr w:type="spellStart"/>
      <w:r w:rsidRPr="00B57286">
        <w:rPr>
          <w:rFonts w:ascii="Times New Roman" w:hAnsi="Times New Roman"/>
        </w:rPr>
        <w:t>Maiquinique</w:t>
      </w:r>
      <w:proofErr w:type="spellEnd"/>
      <w:r w:rsidRPr="00B57286">
        <w:rPr>
          <w:rFonts w:ascii="Times New Roman" w:hAnsi="Times New Roman"/>
        </w:rPr>
        <w:t xml:space="preserve">, Manoel Vitorino, </w:t>
      </w:r>
      <w:proofErr w:type="spellStart"/>
      <w:r w:rsidRPr="00B57286">
        <w:rPr>
          <w:rFonts w:ascii="Times New Roman" w:hAnsi="Times New Roman"/>
        </w:rPr>
        <w:t>Maraú</w:t>
      </w:r>
      <w:proofErr w:type="spellEnd"/>
      <w:r w:rsidRPr="00B57286">
        <w:rPr>
          <w:rFonts w:ascii="Times New Roman" w:hAnsi="Times New Roman"/>
        </w:rPr>
        <w:t xml:space="preserve">, Mascote, Medeiros Neto, Mirante, Mucuri, Nova Canaã, Nova Ibiá, Nova Viçosa, Pau Brasil, Planalto, Poções, Porto Seguro, </w:t>
      </w:r>
      <w:proofErr w:type="spellStart"/>
      <w:r w:rsidRPr="00B57286">
        <w:rPr>
          <w:rFonts w:ascii="Times New Roman" w:hAnsi="Times New Roman"/>
        </w:rPr>
        <w:t>Potiraguá</w:t>
      </w:r>
      <w:proofErr w:type="spellEnd"/>
      <w:r w:rsidRPr="00B57286">
        <w:rPr>
          <w:rFonts w:ascii="Times New Roman" w:hAnsi="Times New Roman"/>
        </w:rPr>
        <w:t xml:space="preserve">, Prado, Ribeirão do Largo, Santa Cruz da Vitória, Santa Luzia, São José da Vitória, Santa Cruz Cabrália, Teixeira de Freitas, </w:t>
      </w:r>
      <w:proofErr w:type="spellStart"/>
      <w:r w:rsidRPr="00B57286">
        <w:rPr>
          <w:rFonts w:ascii="Times New Roman" w:hAnsi="Times New Roman"/>
        </w:rPr>
        <w:t>Tremendal</w:t>
      </w:r>
      <w:proofErr w:type="spellEnd"/>
      <w:r w:rsidRPr="00B57286">
        <w:rPr>
          <w:rFonts w:ascii="Times New Roman" w:hAnsi="Times New Roman"/>
        </w:rPr>
        <w:t xml:space="preserve">, </w:t>
      </w:r>
      <w:proofErr w:type="spellStart"/>
      <w:r w:rsidRPr="00B57286">
        <w:rPr>
          <w:rFonts w:ascii="Times New Roman" w:hAnsi="Times New Roman"/>
        </w:rPr>
        <w:t>Ubaitaba</w:t>
      </w:r>
      <w:proofErr w:type="spellEnd"/>
      <w:r w:rsidRPr="00B57286">
        <w:rPr>
          <w:rFonts w:ascii="Times New Roman" w:hAnsi="Times New Roman"/>
        </w:rPr>
        <w:t xml:space="preserve">, </w:t>
      </w:r>
      <w:proofErr w:type="spellStart"/>
      <w:r w:rsidRPr="00B57286">
        <w:rPr>
          <w:rFonts w:ascii="Times New Roman" w:hAnsi="Times New Roman"/>
        </w:rPr>
        <w:t>Ubatã</w:t>
      </w:r>
      <w:proofErr w:type="spellEnd"/>
      <w:r w:rsidRPr="00B57286">
        <w:rPr>
          <w:rFonts w:ascii="Times New Roman" w:hAnsi="Times New Roman"/>
        </w:rPr>
        <w:t>, Una, Uruçuca, Vereda, Vitória da Conquista.</w:t>
      </w:r>
    </w:p>
    <w:p w:rsidR="00103509" w:rsidRDefault="00103509" w:rsidP="00D04550">
      <w:pPr>
        <w:rPr>
          <w:rFonts w:ascii="Times New Roman" w:hAnsi="Times New Roman"/>
        </w:rPr>
      </w:pPr>
    </w:p>
    <w:p w:rsidR="006D5AE9" w:rsidRPr="00B57286" w:rsidRDefault="006D5AE9" w:rsidP="00D04550">
      <w:pPr>
        <w:rPr>
          <w:rFonts w:ascii="Times New Roman" w:hAnsi="Times New Roman"/>
        </w:rPr>
      </w:pPr>
    </w:p>
    <w:p w:rsidR="006A65C0" w:rsidRPr="00B57286" w:rsidRDefault="008D7021" w:rsidP="006A65C0">
      <w:pPr>
        <w:pStyle w:val="Textbody"/>
        <w:spacing w:after="0"/>
        <w:ind w:firstLine="708"/>
        <w:jc w:val="both"/>
        <w:rPr>
          <w:rFonts w:eastAsia="Calibri" w:cs="Times New Roman"/>
          <w:b/>
          <w:bCs/>
        </w:rPr>
      </w:pPr>
      <w:r w:rsidRPr="00B57286">
        <w:rPr>
          <w:rFonts w:eastAsia="Calibri" w:cs="Times New Roman"/>
          <w:b/>
          <w:bCs/>
        </w:rPr>
        <w:t>4.2</w:t>
      </w:r>
      <w:r w:rsidR="006A65C0" w:rsidRPr="00B57286">
        <w:rPr>
          <w:rFonts w:eastAsia="Calibri" w:cs="Times New Roman"/>
          <w:b/>
          <w:bCs/>
        </w:rPr>
        <w:t xml:space="preserve">. Requisitos da demanda </w:t>
      </w:r>
    </w:p>
    <w:p w:rsidR="006A65C0" w:rsidRPr="00B57286" w:rsidRDefault="006A65C0" w:rsidP="006A65C0">
      <w:pPr>
        <w:rPr>
          <w:rFonts w:ascii="Times New Roman" w:hAnsi="Times New Roman"/>
          <w:bCs/>
        </w:rPr>
      </w:pPr>
    </w:p>
    <w:p w:rsidR="006A65C0" w:rsidRPr="00B57286" w:rsidRDefault="006A65C0" w:rsidP="006A65C0">
      <w:pPr>
        <w:rPr>
          <w:rFonts w:ascii="Times New Roman" w:hAnsi="Times New Roman"/>
        </w:rPr>
      </w:pPr>
      <w:r w:rsidRPr="00B57286">
        <w:rPr>
          <w:rFonts w:ascii="Times New Roman" w:hAnsi="Times New Roman"/>
        </w:rPr>
        <w:t xml:space="preserve">Contratar empresas idôneas para o fornecimento, carga, transporte e descarga de </w:t>
      </w:r>
      <w:r w:rsidR="00B57286" w:rsidRPr="00B57286">
        <w:rPr>
          <w:rFonts w:ascii="Times New Roman" w:hAnsi="Times New Roman"/>
        </w:rPr>
        <w:t>ordenhadeiras mecânicas portáteis e tanques de resfriamento de leite de 1.000 e 2.000 litros</w:t>
      </w:r>
      <w:r w:rsidRPr="00B57286">
        <w:rPr>
          <w:rFonts w:ascii="Times New Roman" w:hAnsi="Times New Roman"/>
        </w:rPr>
        <w:t>,</w:t>
      </w:r>
      <w:r w:rsidR="00B75551" w:rsidRPr="00B57286">
        <w:rPr>
          <w:rFonts w:ascii="Times New Roman" w:hAnsi="Times New Roman"/>
        </w:rPr>
        <w:t xml:space="preserve"> para atender à</w:t>
      </w:r>
      <w:r w:rsidRPr="00B57286">
        <w:rPr>
          <w:rFonts w:ascii="Times New Roman" w:hAnsi="Times New Roman"/>
        </w:rPr>
        <w:t xml:space="preserve">s demandas oriundas de emendas parlamentares </w:t>
      </w:r>
      <w:r w:rsidR="009738B2" w:rsidRPr="00B57286">
        <w:rPr>
          <w:rFonts w:ascii="Times New Roman" w:hAnsi="Times New Roman"/>
        </w:rPr>
        <w:t xml:space="preserve">e outras fontes, </w:t>
      </w:r>
      <w:r w:rsidRPr="00B57286">
        <w:rPr>
          <w:rFonts w:ascii="Times New Roman" w:hAnsi="Times New Roman"/>
        </w:rPr>
        <w:t>com objetivo de desenvolvimento do semiárido nordestino e outras regiões.</w:t>
      </w:r>
    </w:p>
    <w:p w:rsidR="00D05265" w:rsidRDefault="00D05265" w:rsidP="00D04550">
      <w:pPr>
        <w:rPr>
          <w:rFonts w:ascii="Times New Roman" w:hAnsi="Times New Roman"/>
        </w:rPr>
      </w:pPr>
    </w:p>
    <w:p w:rsidR="00174CC5" w:rsidRPr="00B57286" w:rsidRDefault="00174CC5" w:rsidP="00D04550">
      <w:pPr>
        <w:rPr>
          <w:rFonts w:ascii="Times New Roman" w:hAnsi="Times New Roman"/>
        </w:rPr>
      </w:pPr>
    </w:p>
    <w:p w:rsidR="008D7021" w:rsidRPr="00B57286" w:rsidRDefault="008D7021" w:rsidP="008D7021">
      <w:pPr>
        <w:pStyle w:val="Textbody"/>
        <w:spacing w:after="0"/>
        <w:ind w:firstLine="708"/>
        <w:jc w:val="both"/>
        <w:rPr>
          <w:rFonts w:eastAsia="Calibri" w:cs="Times New Roman"/>
          <w:b/>
          <w:bCs/>
        </w:rPr>
      </w:pPr>
      <w:r w:rsidRPr="00B57286">
        <w:rPr>
          <w:rFonts w:eastAsia="Calibri" w:cs="Times New Roman"/>
          <w:b/>
          <w:bCs/>
        </w:rPr>
        <w:t xml:space="preserve">4.3. Soluções disponíveis no mercado </w:t>
      </w:r>
    </w:p>
    <w:p w:rsidR="008D7021" w:rsidRPr="00B57286" w:rsidRDefault="008D7021" w:rsidP="00D04550">
      <w:pPr>
        <w:rPr>
          <w:rFonts w:ascii="Times New Roman" w:hAnsi="Times New Roman"/>
        </w:rPr>
      </w:pPr>
    </w:p>
    <w:p w:rsidR="00CC7764" w:rsidRPr="00D96099" w:rsidRDefault="008D7021" w:rsidP="00D04550">
      <w:pPr>
        <w:rPr>
          <w:rFonts w:ascii="Times New Roman" w:hAnsi="Times New Roman"/>
        </w:rPr>
      </w:pPr>
      <w:r w:rsidRPr="00B57286">
        <w:rPr>
          <w:rFonts w:ascii="Times New Roman" w:hAnsi="Times New Roman"/>
        </w:rPr>
        <w:t>Diversas empresas</w:t>
      </w:r>
      <w:r w:rsidR="00B75551" w:rsidRPr="00B57286">
        <w:rPr>
          <w:rFonts w:ascii="Times New Roman" w:hAnsi="Times New Roman"/>
        </w:rPr>
        <w:t>/fornecedores</w:t>
      </w:r>
      <w:r w:rsidRPr="00B57286">
        <w:rPr>
          <w:rFonts w:ascii="Times New Roman" w:hAnsi="Times New Roman"/>
        </w:rPr>
        <w:t xml:space="preserve"> podem fornecer os objetos </w:t>
      </w:r>
      <w:r w:rsidR="00DF625C" w:rsidRPr="00B57286">
        <w:rPr>
          <w:rFonts w:ascii="Times New Roman" w:hAnsi="Times New Roman"/>
        </w:rPr>
        <w:t xml:space="preserve">a serem </w:t>
      </w:r>
      <w:r w:rsidRPr="00B57286">
        <w:rPr>
          <w:rFonts w:ascii="Times New Roman" w:hAnsi="Times New Roman"/>
        </w:rPr>
        <w:t>licitados</w:t>
      </w:r>
      <w:r w:rsidR="00DF625C" w:rsidRPr="00B57286">
        <w:rPr>
          <w:rFonts w:ascii="Times New Roman" w:hAnsi="Times New Roman"/>
        </w:rPr>
        <w:t>,</w:t>
      </w:r>
      <w:r w:rsidRPr="00B57286">
        <w:rPr>
          <w:rFonts w:ascii="Times New Roman" w:hAnsi="Times New Roman"/>
        </w:rPr>
        <w:t xml:space="preserve"> por se tratar</w:t>
      </w:r>
      <w:r w:rsidR="00C21C85">
        <w:rPr>
          <w:rFonts w:ascii="Times New Roman" w:hAnsi="Times New Roman"/>
        </w:rPr>
        <w:t>em</w:t>
      </w:r>
      <w:r w:rsidRPr="00B57286">
        <w:rPr>
          <w:rFonts w:ascii="Times New Roman" w:hAnsi="Times New Roman"/>
        </w:rPr>
        <w:t xml:space="preserve"> de bens </w:t>
      </w:r>
      <w:r w:rsidRPr="00D96099">
        <w:rPr>
          <w:rFonts w:ascii="Times New Roman" w:hAnsi="Times New Roman"/>
        </w:rPr>
        <w:t>comuns, desde que atendam aos requisitos de qu</w:t>
      </w:r>
      <w:r w:rsidR="00B75551" w:rsidRPr="00D96099">
        <w:rPr>
          <w:rFonts w:ascii="Times New Roman" w:hAnsi="Times New Roman"/>
        </w:rPr>
        <w:t>alificação técnica e econômico-</w:t>
      </w:r>
      <w:r w:rsidRPr="00D96099">
        <w:rPr>
          <w:rFonts w:ascii="Times New Roman" w:hAnsi="Times New Roman"/>
        </w:rPr>
        <w:t xml:space="preserve">financeiros exigidos no Edital </w:t>
      </w:r>
      <w:r w:rsidR="00B75551" w:rsidRPr="00D96099">
        <w:rPr>
          <w:rFonts w:ascii="Times New Roman" w:hAnsi="Times New Roman"/>
        </w:rPr>
        <w:t xml:space="preserve">de Licitação </w:t>
      </w:r>
      <w:r w:rsidRPr="00D96099">
        <w:rPr>
          <w:rFonts w:ascii="Times New Roman" w:hAnsi="Times New Roman"/>
        </w:rPr>
        <w:t xml:space="preserve">e </w:t>
      </w:r>
      <w:r w:rsidR="00DF625C" w:rsidRPr="00D96099">
        <w:rPr>
          <w:rFonts w:ascii="Times New Roman" w:hAnsi="Times New Roman"/>
        </w:rPr>
        <w:t>seus a</w:t>
      </w:r>
      <w:r w:rsidRPr="00D96099">
        <w:rPr>
          <w:rFonts w:ascii="Times New Roman" w:hAnsi="Times New Roman"/>
        </w:rPr>
        <w:t>nexos.</w:t>
      </w:r>
    </w:p>
    <w:p w:rsidR="00FD270F" w:rsidRDefault="00FD270F" w:rsidP="00D04550">
      <w:pPr>
        <w:rPr>
          <w:rFonts w:ascii="Times New Roman" w:hAnsi="Times New Roman"/>
          <w:shd w:val="clear" w:color="auto" w:fill="FFFFFF"/>
        </w:rPr>
      </w:pPr>
    </w:p>
    <w:p w:rsidR="00174CC5" w:rsidRPr="00D96099" w:rsidRDefault="00174CC5" w:rsidP="00D04550">
      <w:pPr>
        <w:rPr>
          <w:rFonts w:ascii="Times New Roman" w:hAnsi="Times New Roman"/>
          <w:shd w:val="clear" w:color="auto" w:fill="FFFFFF"/>
        </w:rPr>
      </w:pPr>
    </w:p>
    <w:p w:rsidR="00806331" w:rsidRPr="00D96099" w:rsidRDefault="00806331" w:rsidP="00806331">
      <w:pPr>
        <w:pStyle w:val="Textbody"/>
        <w:spacing w:after="0"/>
        <w:ind w:firstLine="708"/>
        <w:jc w:val="both"/>
        <w:rPr>
          <w:rFonts w:eastAsia="Calibri" w:cs="Times New Roman"/>
          <w:b/>
          <w:bCs/>
        </w:rPr>
      </w:pPr>
      <w:r w:rsidRPr="00D96099">
        <w:rPr>
          <w:rFonts w:eastAsia="Calibri" w:cs="Times New Roman"/>
          <w:b/>
          <w:bCs/>
        </w:rPr>
        <w:t xml:space="preserve">4.4. Levantamento de custos </w:t>
      </w:r>
    </w:p>
    <w:p w:rsidR="00806331" w:rsidRPr="00D96099" w:rsidRDefault="00806331" w:rsidP="00806331">
      <w:pPr>
        <w:rPr>
          <w:rFonts w:ascii="Times New Roman" w:hAnsi="Times New Roman"/>
        </w:rPr>
      </w:pPr>
    </w:p>
    <w:p w:rsidR="005906D4" w:rsidRDefault="00806331" w:rsidP="00806331">
      <w:pPr>
        <w:rPr>
          <w:rFonts w:ascii="Times New Roman" w:hAnsi="Times New Roman"/>
        </w:rPr>
      </w:pPr>
      <w:r w:rsidRPr="00D96099">
        <w:rPr>
          <w:rFonts w:ascii="Times New Roman" w:hAnsi="Times New Roman"/>
        </w:rPr>
        <w:t xml:space="preserve">Os valores unitários </w:t>
      </w:r>
      <w:r w:rsidR="00FF4BBB" w:rsidRPr="00D96099">
        <w:rPr>
          <w:rFonts w:ascii="Times New Roman" w:hAnsi="Times New Roman"/>
        </w:rPr>
        <w:t xml:space="preserve">de referência </w:t>
      </w:r>
      <w:r w:rsidRPr="00D96099">
        <w:rPr>
          <w:rFonts w:ascii="Times New Roman" w:hAnsi="Times New Roman"/>
        </w:rPr>
        <w:t xml:space="preserve">dos itens </w:t>
      </w:r>
      <w:r w:rsidR="005906D4" w:rsidRPr="00D96099">
        <w:rPr>
          <w:rFonts w:ascii="Times New Roman" w:hAnsi="Times New Roman"/>
        </w:rPr>
        <w:t>para as futuras contratações</w:t>
      </w:r>
      <w:r w:rsidRPr="00D96099">
        <w:rPr>
          <w:rFonts w:ascii="Times New Roman" w:hAnsi="Times New Roman"/>
        </w:rPr>
        <w:t xml:space="preserve"> foram obtidos por meio </w:t>
      </w:r>
      <w:r w:rsidR="008533DB" w:rsidRPr="00D96099">
        <w:rPr>
          <w:rFonts w:ascii="Times New Roman" w:hAnsi="Times New Roman"/>
        </w:rPr>
        <w:t xml:space="preserve">de consultas ao </w:t>
      </w:r>
      <w:r w:rsidR="00FF4BBB" w:rsidRPr="00D96099">
        <w:rPr>
          <w:rFonts w:ascii="Times New Roman" w:hAnsi="Times New Roman"/>
          <w:i/>
        </w:rPr>
        <w:t>Painel de Preços do Governo Federal</w:t>
      </w:r>
      <w:r w:rsidR="008533DB" w:rsidRPr="00D96099">
        <w:rPr>
          <w:rFonts w:ascii="Times New Roman" w:hAnsi="Times New Roman"/>
        </w:rPr>
        <w:t xml:space="preserve"> – Aba Materiais, por meio do </w:t>
      </w:r>
      <w:r w:rsidR="008533DB" w:rsidRPr="00D96099">
        <w:rPr>
          <w:rFonts w:ascii="Times New Roman" w:hAnsi="Times New Roman"/>
          <w:i/>
        </w:rPr>
        <w:t>site</w:t>
      </w:r>
      <w:r w:rsidR="00C21C85">
        <w:rPr>
          <w:rFonts w:ascii="Times New Roman" w:hAnsi="Times New Roman"/>
          <w:i/>
        </w:rPr>
        <w:t xml:space="preserve"> </w:t>
      </w:r>
      <w:proofErr w:type="gramStart"/>
      <w:r w:rsidR="008533DB" w:rsidRPr="00C21C85">
        <w:rPr>
          <w:rFonts w:ascii="Times New Roman" w:hAnsi="Times New Roman"/>
          <w:b/>
          <w:i/>
        </w:rPr>
        <w:t>https</w:t>
      </w:r>
      <w:proofErr w:type="gramEnd"/>
      <w:r w:rsidR="008533DB" w:rsidRPr="00C21C85">
        <w:rPr>
          <w:rFonts w:ascii="Times New Roman" w:hAnsi="Times New Roman"/>
          <w:b/>
          <w:i/>
        </w:rPr>
        <w:t>://paineldeprecos.planejamento.gov.br/analise-materiais</w:t>
      </w:r>
      <w:r w:rsidR="00C21C85">
        <w:rPr>
          <w:rFonts w:ascii="Times New Roman" w:hAnsi="Times New Roman"/>
          <w:b/>
          <w:i/>
        </w:rPr>
        <w:t xml:space="preserve"> </w:t>
      </w:r>
      <w:r w:rsidR="005906D4" w:rsidRPr="00D96099">
        <w:rPr>
          <w:rFonts w:ascii="Times New Roman" w:hAnsi="Times New Roman"/>
        </w:rPr>
        <w:t>e por m</w:t>
      </w:r>
      <w:r w:rsidR="00FF4BBB" w:rsidRPr="00D96099">
        <w:rPr>
          <w:rFonts w:ascii="Times New Roman" w:hAnsi="Times New Roman"/>
        </w:rPr>
        <w:t>eio de cotações realizadas</w:t>
      </w:r>
      <w:r w:rsidR="00A43991" w:rsidRPr="00D96099">
        <w:rPr>
          <w:rFonts w:ascii="Times New Roman" w:hAnsi="Times New Roman"/>
        </w:rPr>
        <w:t xml:space="preserve"> junto a fornecedor</w:t>
      </w:r>
      <w:r w:rsidR="00FF4BBB" w:rsidRPr="00D96099">
        <w:rPr>
          <w:rFonts w:ascii="Times New Roman" w:hAnsi="Times New Roman"/>
        </w:rPr>
        <w:t>es</w:t>
      </w:r>
      <w:r w:rsidR="005906D4" w:rsidRPr="00D96099">
        <w:rPr>
          <w:rFonts w:ascii="Times New Roman" w:hAnsi="Times New Roman"/>
        </w:rPr>
        <w:t xml:space="preserve">, </w:t>
      </w:r>
      <w:r w:rsidR="008533DB" w:rsidRPr="00D96099">
        <w:rPr>
          <w:rFonts w:ascii="Times New Roman" w:hAnsi="Times New Roman"/>
        </w:rPr>
        <w:t>com consultas realizadas no</w:t>
      </w:r>
      <w:r w:rsidR="00FD270F" w:rsidRPr="00D96099">
        <w:rPr>
          <w:rFonts w:ascii="Times New Roman" w:hAnsi="Times New Roman"/>
        </w:rPr>
        <w:t>s meses</w:t>
      </w:r>
      <w:r w:rsidR="008533DB" w:rsidRPr="00D96099">
        <w:rPr>
          <w:rFonts w:ascii="Times New Roman" w:hAnsi="Times New Roman"/>
        </w:rPr>
        <w:t xml:space="preserve"> de </w:t>
      </w:r>
      <w:r w:rsidR="00D96099" w:rsidRPr="00D96099">
        <w:rPr>
          <w:rFonts w:ascii="Times New Roman" w:hAnsi="Times New Roman"/>
        </w:rPr>
        <w:t>fevereiro</w:t>
      </w:r>
      <w:r w:rsidR="00C21C85">
        <w:rPr>
          <w:rFonts w:ascii="Times New Roman" w:hAnsi="Times New Roman"/>
        </w:rPr>
        <w:t xml:space="preserve"> </w:t>
      </w:r>
      <w:r w:rsidR="00D96099" w:rsidRPr="00D96099">
        <w:rPr>
          <w:rFonts w:ascii="Times New Roman" w:hAnsi="Times New Roman"/>
        </w:rPr>
        <w:t>e</w:t>
      </w:r>
      <w:r w:rsidR="00C21C85">
        <w:rPr>
          <w:rFonts w:ascii="Times New Roman" w:hAnsi="Times New Roman"/>
        </w:rPr>
        <w:t xml:space="preserve"> </w:t>
      </w:r>
      <w:r w:rsidR="00D96099" w:rsidRPr="00D96099">
        <w:rPr>
          <w:rFonts w:ascii="Times New Roman" w:hAnsi="Times New Roman"/>
        </w:rPr>
        <w:t>março</w:t>
      </w:r>
      <w:r w:rsidR="00C21C85">
        <w:rPr>
          <w:rFonts w:ascii="Times New Roman" w:hAnsi="Times New Roman"/>
        </w:rPr>
        <w:t xml:space="preserve"> </w:t>
      </w:r>
      <w:r w:rsidR="00D96099" w:rsidRPr="00D96099">
        <w:rPr>
          <w:rFonts w:ascii="Times New Roman" w:hAnsi="Times New Roman"/>
        </w:rPr>
        <w:t>de 2023</w:t>
      </w:r>
      <w:r w:rsidR="007720AC" w:rsidRPr="00D96099">
        <w:rPr>
          <w:rFonts w:ascii="Times New Roman" w:hAnsi="Times New Roman"/>
        </w:rPr>
        <w:t>.</w:t>
      </w:r>
      <w:r w:rsidR="00FF4BBB" w:rsidRPr="00D96099">
        <w:rPr>
          <w:rFonts w:ascii="Times New Roman" w:hAnsi="Times New Roman"/>
        </w:rPr>
        <w:t xml:space="preserve"> Assim, o preço</w:t>
      </w:r>
      <w:r w:rsidR="00557F26">
        <w:rPr>
          <w:rFonts w:ascii="Times New Roman" w:hAnsi="Times New Roman"/>
        </w:rPr>
        <w:t xml:space="preserve"> </w:t>
      </w:r>
      <w:r w:rsidR="00FF4BBB" w:rsidRPr="00D96099">
        <w:rPr>
          <w:rFonts w:ascii="Times New Roman" w:hAnsi="Times New Roman"/>
        </w:rPr>
        <w:t xml:space="preserve">de referência para cada equipamento foi obtido a partir da média aritmética simples dos valores de média ou mediana (sempre </w:t>
      </w:r>
      <w:proofErr w:type="gramStart"/>
      <w:r w:rsidR="00FF4BBB" w:rsidRPr="00D96099">
        <w:rPr>
          <w:rFonts w:ascii="Times New Roman" w:hAnsi="Times New Roman"/>
        </w:rPr>
        <w:t>adotando-se</w:t>
      </w:r>
      <w:proofErr w:type="gramEnd"/>
      <w:r w:rsidR="00FF4BBB" w:rsidRPr="00D96099">
        <w:rPr>
          <w:rFonts w:ascii="Times New Roman" w:hAnsi="Times New Roman"/>
        </w:rPr>
        <w:t xml:space="preserve"> o menor valor) dos preços obtidos por meio do </w:t>
      </w:r>
      <w:r w:rsidR="00FF4BBB" w:rsidRPr="00D96099">
        <w:rPr>
          <w:rFonts w:ascii="Times New Roman" w:hAnsi="Times New Roman"/>
          <w:i/>
        </w:rPr>
        <w:t>Painel de Preços do Governo Federal</w:t>
      </w:r>
      <w:r w:rsidR="00FF4BBB" w:rsidRPr="00D96099">
        <w:rPr>
          <w:rFonts w:ascii="Times New Roman" w:hAnsi="Times New Roman"/>
        </w:rPr>
        <w:t xml:space="preserve"> e das cotações feitas junto aos fornecedores, tendo-se o cuidado de manter os coeficientes de </w:t>
      </w:r>
      <w:r w:rsidR="00D96099" w:rsidRPr="00D96099">
        <w:rPr>
          <w:rFonts w:ascii="Times New Roman" w:hAnsi="Times New Roman"/>
        </w:rPr>
        <w:t xml:space="preserve">variação </w:t>
      </w:r>
      <w:r w:rsidR="00557F26">
        <w:rPr>
          <w:rFonts w:ascii="Times New Roman" w:hAnsi="Times New Roman"/>
        </w:rPr>
        <w:t xml:space="preserve">(cv) </w:t>
      </w:r>
      <w:r w:rsidR="00D96099" w:rsidRPr="00D96099">
        <w:rPr>
          <w:rFonts w:ascii="Times New Roman" w:hAnsi="Times New Roman"/>
        </w:rPr>
        <w:t>inferiores a 21</w:t>
      </w:r>
      <w:r w:rsidR="00FF4BBB" w:rsidRPr="00D96099">
        <w:rPr>
          <w:rFonts w:ascii="Times New Roman" w:hAnsi="Times New Roman"/>
        </w:rPr>
        <w:t>% (</w:t>
      </w:r>
      <w:r w:rsidR="00D96099" w:rsidRPr="00D96099">
        <w:rPr>
          <w:rFonts w:ascii="Times New Roman" w:hAnsi="Times New Roman"/>
        </w:rPr>
        <w:t>vinte e um</w:t>
      </w:r>
      <w:r w:rsidR="00FF4BBB" w:rsidRPr="00D96099">
        <w:rPr>
          <w:rFonts w:ascii="Times New Roman" w:hAnsi="Times New Roman"/>
        </w:rPr>
        <w:t xml:space="preserve"> por cento).</w:t>
      </w:r>
    </w:p>
    <w:p w:rsidR="00174CC5" w:rsidRPr="00D96099" w:rsidRDefault="00174CC5" w:rsidP="00806331">
      <w:pPr>
        <w:rPr>
          <w:rFonts w:ascii="Times New Roman" w:hAnsi="Times New Roman"/>
        </w:rPr>
      </w:pPr>
    </w:p>
    <w:p w:rsidR="00D05265" w:rsidRDefault="00D05265" w:rsidP="00806331">
      <w:pPr>
        <w:rPr>
          <w:rFonts w:ascii="Times New Roman" w:hAnsi="Times New Roman"/>
        </w:rPr>
      </w:pPr>
      <w:r w:rsidRPr="003C360D">
        <w:rPr>
          <w:rFonts w:ascii="Times New Roman" w:hAnsi="Times New Roman"/>
        </w:rPr>
        <w:t xml:space="preserve">Referente às pesquisas de preços, seguiu-se o que reza no Regulamento Interno de Licitações e Contratos da </w:t>
      </w:r>
      <w:r w:rsidR="007B7BD6" w:rsidRPr="003C360D">
        <w:rPr>
          <w:rFonts w:ascii="Times New Roman" w:hAnsi="Times New Roman"/>
        </w:rPr>
        <w:t>Codevasf</w:t>
      </w:r>
      <w:r w:rsidRPr="003C360D">
        <w:rPr>
          <w:rFonts w:ascii="Times New Roman" w:hAnsi="Times New Roman"/>
        </w:rPr>
        <w:t>, Deliberação nº 28, de 27 de julho de 202</w:t>
      </w:r>
      <w:r w:rsidR="005906D4" w:rsidRPr="003C360D">
        <w:rPr>
          <w:rFonts w:ascii="Times New Roman" w:hAnsi="Times New Roman"/>
        </w:rPr>
        <w:t xml:space="preserve">0, Seção IV, Artigos 12º ao </w:t>
      </w:r>
      <w:r w:rsidR="005906D4" w:rsidRPr="003C360D">
        <w:rPr>
          <w:rFonts w:ascii="Times New Roman" w:hAnsi="Times New Roman"/>
        </w:rPr>
        <w:lastRenderedPageBreak/>
        <w:t>15º</w:t>
      </w:r>
      <w:r w:rsidR="00213530" w:rsidRPr="003C360D">
        <w:rPr>
          <w:rFonts w:ascii="Times New Roman" w:hAnsi="Times New Roman"/>
        </w:rPr>
        <w:t xml:space="preserve">; e as orientações contidas </w:t>
      </w:r>
      <w:r w:rsidR="00D96099" w:rsidRPr="003C360D">
        <w:rPr>
          <w:rFonts w:ascii="Times New Roman" w:hAnsi="Times New Roman"/>
        </w:rPr>
        <w:t xml:space="preserve">na </w:t>
      </w:r>
      <w:r w:rsidR="002C1443" w:rsidRPr="003C360D">
        <w:rPr>
          <w:rFonts w:ascii="Times New Roman" w:hAnsi="Times New Roman"/>
        </w:rPr>
        <w:t>Norma de Pesquisa e Definição de Preços de Referência para Licitações de Bens e Serviços da Codevasf (N-440), de 02 de fevereiro de 2023</w:t>
      </w:r>
      <w:r w:rsidR="00FF4BBB" w:rsidRPr="003C360D">
        <w:rPr>
          <w:rFonts w:ascii="Times New Roman" w:hAnsi="Times New Roman"/>
        </w:rPr>
        <w:t>.</w:t>
      </w:r>
    </w:p>
    <w:p w:rsidR="00174CC5" w:rsidRPr="003C360D" w:rsidRDefault="00174CC5" w:rsidP="00806331">
      <w:pPr>
        <w:rPr>
          <w:rFonts w:ascii="Times New Roman" w:hAnsi="Times New Roman"/>
        </w:rPr>
      </w:pPr>
    </w:p>
    <w:p w:rsidR="005B34F9" w:rsidRPr="003C360D" w:rsidRDefault="00F121B8" w:rsidP="00806331">
      <w:pPr>
        <w:rPr>
          <w:rFonts w:ascii="Times New Roman" w:hAnsi="Times New Roman"/>
        </w:rPr>
      </w:pPr>
      <w:r w:rsidRPr="003C360D">
        <w:rPr>
          <w:rFonts w:ascii="Times New Roman" w:hAnsi="Times New Roman"/>
        </w:rPr>
        <w:t xml:space="preserve">O valor total estimado de </w:t>
      </w:r>
      <w:r w:rsidR="002F29E5" w:rsidRPr="003C360D">
        <w:rPr>
          <w:rFonts w:ascii="Times New Roman" w:hAnsi="Times New Roman"/>
          <w:b/>
        </w:rPr>
        <w:t xml:space="preserve">R$ </w:t>
      </w:r>
      <w:r w:rsidR="003C360D" w:rsidRPr="003C360D">
        <w:rPr>
          <w:rFonts w:ascii="Times New Roman" w:hAnsi="Times New Roman"/>
          <w:b/>
        </w:rPr>
        <w:t>2.536.941,20</w:t>
      </w:r>
      <w:r w:rsidR="00084A6D">
        <w:rPr>
          <w:rFonts w:ascii="Times New Roman" w:hAnsi="Times New Roman"/>
          <w:b/>
        </w:rPr>
        <w:t xml:space="preserve"> </w:t>
      </w:r>
      <w:r w:rsidRPr="003C360D">
        <w:rPr>
          <w:rFonts w:ascii="Times New Roman" w:hAnsi="Times New Roman"/>
        </w:rPr>
        <w:t>(</w:t>
      </w:r>
      <w:r w:rsidR="003C360D" w:rsidRPr="003C360D">
        <w:rPr>
          <w:rFonts w:ascii="Times New Roman" w:hAnsi="Times New Roman"/>
        </w:rPr>
        <w:t>dois milhões, quinhentos e trinta e seis mil, novecentos e quarenta e um reais e vinte centavos</w:t>
      </w:r>
      <w:r w:rsidR="000A1C86" w:rsidRPr="003C360D">
        <w:rPr>
          <w:rFonts w:ascii="Times New Roman" w:hAnsi="Times New Roman"/>
        </w:rPr>
        <w:t xml:space="preserve">), a preços de </w:t>
      </w:r>
      <w:r w:rsidR="003C360D" w:rsidRPr="003C360D">
        <w:rPr>
          <w:rFonts w:ascii="Times New Roman" w:hAnsi="Times New Roman"/>
        </w:rPr>
        <w:t>março de 2023</w:t>
      </w:r>
      <w:r w:rsidR="000A1C86" w:rsidRPr="003C360D">
        <w:rPr>
          <w:rFonts w:ascii="Times New Roman" w:hAnsi="Times New Roman"/>
        </w:rPr>
        <w:t xml:space="preserve">, </w:t>
      </w:r>
      <w:r w:rsidRPr="003C360D">
        <w:rPr>
          <w:rFonts w:ascii="Times New Roman" w:hAnsi="Times New Roman"/>
        </w:rPr>
        <w:t>constitui-se apenas como valor de</w:t>
      </w:r>
      <w:r w:rsidR="005B34F9" w:rsidRPr="003C360D">
        <w:rPr>
          <w:rFonts w:ascii="Times New Roman" w:hAnsi="Times New Roman"/>
        </w:rPr>
        <w:t xml:space="preserve"> referência, sendo que os valores definitivos serão conhecidos somente após a licitação. A seguir, é apresentada planilha com o detalhamento do orçamento.</w:t>
      </w:r>
    </w:p>
    <w:p w:rsidR="003C360D" w:rsidRPr="003C360D" w:rsidRDefault="003C360D" w:rsidP="00806331">
      <w:pPr>
        <w:rPr>
          <w:rFonts w:ascii="Times New Roman" w:hAnsi="Times New Roman"/>
        </w:rPr>
      </w:pPr>
    </w:p>
    <w:p w:rsidR="008D7021" w:rsidRPr="003C360D" w:rsidRDefault="008D7021" w:rsidP="00D04550">
      <w:pPr>
        <w:rPr>
          <w:rFonts w:ascii="Times New Roman" w:hAnsi="Times New Roman"/>
        </w:rPr>
      </w:pPr>
    </w:p>
    <w:tbl>
      <w:tblPr>
        <w:tblStyle w:val="Tabelacomgrade"/>
        <w:tblW w:w="0" w:type="auto"/>
        <w:tblInd w:w="108" w:type="dxa"/>
        <w:tblLayout w:type="fixed"/>
        <w:tblLook w:val="04A0"/>
      </w:tblPr>
      <w:tblGrid>
        <w:gridCol w:w="616"/>
        <w:gridCol w:w="3637"/>
        <w:gridCol w:w="1276"/>
        <w:gridCol w:w="1559"/>
        <w:gridCol w:w="2065"/>
      </w:tblGrid>
      <w:tr w:rsidR="0002690D" w:rsidRPr="003C360D" w:rsidTr="002D483A">
        <w:tc>
          <w:tcPr>
            <w:tcW w:w="616" w:type="dxa"/>
            <w:vAlign w:val="center"/>
          </w:tcPr>
          <w:p w:rsidR="0002690D" w:rsidRPr="003C360D" w:rsidRDefault="0002690D" w:rsidP="0002690D">
            <w:pPr>
              <w:jc w:val="center"/>
              <w:rPr>
                <w:rFonts w:ascii="Times New Roman" w:hAnsi="Times New Roman"/>
                <w:b/>
                <w:sz w:val="18"/>
                <w:szCs w:val="18"/>
                <w:shd w:val="clear" w:color="auto" w:fill="FFFFFF"/>
              </w:rPr>
            </w:pPr>
            <w:r w:rsidRPr="003C360D">
              <w:rPr>
                <w:rFonts w:ascii="Times New Roman" w:hAnsi="Times New Roman"/>
                <w:b/>
                <w:sz w:val="18"/>
                <w:szCs w:val="18"/>
                <w:shd w:val="clear" w:color="auto" w:fill="FFFFFF"/>
              </w:rPr>
              <w:t>Item</w:t>
            </w:r>
          </w:p>
        </w:tc>
        <w:tc>
          <w:tcPr>
            <w:tcW w:w="3637" w:type="dxa"/>
            <w:vAlign w:val="center"/>
          </w:tcPr>
          <w:p w:rsidR="0002690D" w:rsidRPr="003C360D" w:rsidRDefault="0002690D" w:rsidP="0002690D">
            <w:pPr>
              <w:jc w:val="center"/>
              <w:rPr>
                <w:rFonts w:ascii="Times New Roman" w:hAnsi="Times New Roman"/>
                <w:b/>
                <w:sz w:val="18"/>
                <w:szCs w:val="18"/>
                <w:shd w:val="clear" w:color="auto" w:fill="FFFFFF"/>
              </w:rPr>
            </w:pPr>
            <w:r w:rsidRPr="003C360D">
              <w:rPr>
                <w:rFonts w:ascii="Times New Roman" w:hAnsi="Times New Roman"/>
                <w:b/>
                <w:sz w:val="18"/>
                <w:szCs w:val="18"/>
                <w:shd w:val="clear" w:color="auto" w:fill="FFFFFF"/>
              </w:rPr>
              <w:t>Descrição Resumida</w:t>
            </w:r>
          </w:p>
        </w:tc>
        <w:tc>
          <w:tcPr>
            <w:tcW w:w="1276" w:type="dxa"/>
            <w:vAlign w:val="center"/>
          </w:tcPr>
          <w:p w:rsidR="0002690D" w:rsidRPr="003C360D" w:rsidRDefault="0002690D" w:rsidP="0002690D">
            <w:pPr>
              <w:jc w:val="center"/>
              <w:rPr>
                <w:rFonts w:ascii="Times New Roman" w:hAnsi="Times New Roman"/>
                <w:b/>
                <w:sz w:val="18"/>
                <w:szCs w:val="18"/>
                <w:shd w:val="clear" w:color="auto" w:fill="FFFFFF"/>
              </w:rPr>
            </w:pPr>
            <w:r w:rsidRPr="003C360D">
              <w:rPr>
                <w:rFonts w:ascii="Times New Roman" w:hAnsi="Times New Roman"/>
                <w:b/>
                <w:sz w:val="18"/>
                <w:szCs w:val="18"/>
                <w:shd w:val="clear" w:color="auto" w:fill="FFFFFF"/>
              </w:rPr>
              <w:t>Quantidade</w:t>
            </w:r>
            <w:r w:rsidR="00DF625C" w:rsidRPr="003C360D">
              <w:rPr>
                <w:rFonts w:ascii="Times New Roman" w:hAnsi="Times New Roman"/>
                <w:b/>
                <w:sz w:val="18"/>
                <w:szCs w:val="18"/>
                <w:shd w:val="clear" w:color="auto" w:fill="FFFFFF"/>
              </w:rPr>
              <w:t xml:space="preserve"> Demandada</w:t>
            </w:r>
          </w:p>
        </w:tc>
        <w:tc>
          <w:tcPr>
            <w:tcW w:w="1559" w:type="dxa"/>
            <w:vAlign w:val="center"/>
          </w:tcPr>
          <w:p w:rsidR="0002690D" w:rsidRPr="003C360D" w:rsidRDefault="0002690D" w:rsidP="0002690D">
            <w:pPr>
              <w:jc w:val="center"/>
              <w:rPr>
                <w:rFonts w:ascii="Times New Roman" w:hAnsi="Times New Roman"/>
                <w:b/>
                <w:sz w:val="18"/>
                <w:szCs w:val="18"/>
                <w:shd w:val="clear" w:color="auto" w:fill="FFFFFF"/>
              </w:rPr>
            </w:pPr>
            <w:r w:rsidRPr="003C360D">
              <w:rPr>
                <w:rFonts w:ascii="Times New Roman" w:hAnsi="Times New Roman"/>
                <w:b/>
                <w:sz w:val="18"/>
                <w:szCs w:val="18"/>
                <w:shd w:val="clear" w:color="auto" w:fill="FFFFFF"/>
              </w:rPr>
              <w:t>Valor Unitário</w:t>
            </w:r>
            <w:r w:rsidR="00DF625C" w:rsidRPr="003C360D">
              <w:rPr>
                <w:rFonts w:ascii="Times New Roman" w:hAnsi="Times New Roman"/>
                <w:b/>
                <w:sz w:val="18"/>
                <w:szCs w:val="18"/>
                <w:shd w:val="clear" w:color="auto" w:fill="FFFFFF"/>
              </w:rPr>
              <w:t xml:space="preserve"> Orçado</w:t>
            </w:r>
          </w:p>
        </w:tc>
        <w:tc>
          <w:tcPr>
            <w:tcW w:w="2065" w:type="dxa"/>
            <w:vAlign w:val="center"/>
          </w:tcPr>
          <w:p w:rsidR="0002690D" w:rsidRPr="003C360D" w:rsidRDefault="0002690D" w:rsidP="0002690D">
            <w:pPr>
              <w:jc w:val="center"/>
              <w:rPr>
                <w:rFonts w:ascii="Times New Roman" w:hAnsi="Times New Roman"/>
                <w:b/>
                <w:sz w:val="18"/>
                <w:szCs w:val="18"/>
                <w:shd w:val="clear" w:color="auto" w:fill="FFFFFF"/>
              </w:rPr>
            </w:pPr>
            <w:r w:rsidRPr="003C360D">
              <w:rPr>
                <w:rFonts w:ascii="Times New Roman" w:hAnsi="Times New Roman"/>
                <w:b/>
                <w:sz w:val="18"/>
                <w:szCs w:val="18"/>
                <w:shd w:val="clear" w:color="auto" w:fill="FFFFFF"/>
              </w:rPr>
              <w:t>Valor Total</w:t>
            </w:r>
          </w:p>
        </w:tc>
      </w:tr>
      <w:tr w:rsidR="0002690D" w:rsidRPr="003C360D" w:rsidTr="002D483A">
        <w:tc>
          <w:tcPr>
            <w:tcW w:w="616" w:type="dxa"/>
            <w:vAlign w:val="center"/>
          </w:tcPr>
          <w:p w:rsidR="0002690D" w:rsidRPr="00200773" w:rsidRDefault="0002690D" w:rsidP="0002690D">
            <w:pPr>
              <w:jc w:val="center"/>
              <w:rPr>
                <w:rFonts w:ascii="Times New Roman" w:hAnsi="Times New Roman"/>
                <w:sz w:val="20"/>
                <w:szCs w:val="20"/>
                <w:shd w:val="clear" w:color="auto" w:fill="FFFFFF"/>
              </w:rPr>
            </w:pPr>
            <w:r w:rsidRPr="00200773">
              <w:rPr>
                <w:rFonts w:ascii="Times New Roman" w:hAnsi="Times New Roman"/>
                <w:sz w:val="20"/>
                <w:szCs w:val="20"/>
                <w:shd w:val="clear" w:color="auto" w:fill="FFFFFF"/>
              </w:rPr>
              <w:t>1</w:t>
            </w:r>
          </w:p>
        </w:tc>
        <w:tc>
          <w:tcPr>
            <w:tcW w:w="3637" w:type="dxa"/>
            <w:vAlign w:val="center"/>
          </w:tcPr>
          <w:p w:rsidR="0002690D" w:rsidRPr="00084A6D" w:rsidRDefault="003C360D" w:rsidP="00DF625C">
            <w:pPr>
              <w:rPr>
                <w:rFonts w:ascii="Times New Roman" w:hAnsi="Times New Roman"/>
                <w:sz w:val="20"/>
                <w:szCs w:val="20"/>
              </w:rPr>
            </w:pPr>
            <w:proofErr w:type="spellStart"/>
            <w:r w:rsidRPr="00084A6D">
              <w:rPr>
                <w:rFonts w:ascii="Times New Roman" w:hAnsi="Times New Roman"/>
                <w:sz w:val="20"/>
                <w:szCs w:val="20"/>
              </w:rPr>
              <w:t>Ordenhadeira</w:t>
            </w:r>
            <w:proofErr w:type="spellEnd"/>
            <w:r w:rsidRPr="00084A6D">
              <w:rPr>
                <w:rFonts w:ascii="Times New Roman" w:hAnsi="Times New Roman"/>
                <w:sz w:val="20"/>
                <w:szCs w:val="20"/>
              </w:rPr>
              <w:t xml:space="preserve"> elétrica móvel com 01 conjunto duplo completo. Sistema balde ao pé para curral, que não necessite de construção civil e instalação de tubulação; com 01 conjunto duplo completo para 02 vacas por vez; 01 recipiente de no </w:t>
            </w:r>
            <w:proofErr w:type="spellStart"/>
            <w:r w:rsidRPr="00084A6D">
              <w:rPr>
                <w:rFonts w:ascii="Times New Roman" w:hAnsi="Times New Roman"/>
                <w:sz w:val="20"/>
                <w:szCs w:val="20"/>
              </w:rPr>
              <w:t>mímimo</w:t>
            </w:r>
            <w:proofErr w:type="spellEnd"/>
            <w:r w:rsidRPr="00084A6D">
              <w:rPr>
                <w:rFonts w:ascii="Times New Roman" w:hAnsi="Times New Roman"/>
                <w:sz w:val="20"/>
                <w:szCs w:val="20"/>
              </w:rPr>
              <w:t xml:space="preserve"> 35 litros de capacidade semitransparente que permita ver o nível do leite; tampa do tarro em inox 304 com a junta</w:t>
            </w:r>
            <w:r w:rsidR="00600F00" w:rsidRPr="00084A6D">
              <w:rPr>
                <w:rFonts w:ascii="Times New Roman" w:hAnsi="Times New Roman"/>
                <w:sz w:val="20"/>
                <w:szCs w:val="20"/>
              </w:rPr>
              <w:t>.</w:t>
            </w:r>
          </w:p>
        </w:tc>
        <w:tc>
          <w:tcPr>
            <w:tcW w:w="1276" w:type="dxa"/>
            <w:vAlign w:val="center"/>
          </w:tcPr>
          <w:p w:rsidR="0002690D" w:rsidRPr="00200773" w:rsidRDefault="003C360D" w:rsidP="0002690D">
            <w:pPr>
              <w:jc w:val="center"/>
              <w:rPr>
                <w:rFonts w:ascii="Times New Roman" w:hAnsi="Times New Roman"/>
                <w:sz w:val="20"/>
                <w:szCs w:val="20"/>
                <w:shd w:val="clear" w:color="auto" w:fill="FFFFFF"/>
              </w:rPr>
            </w:pPr>
            <w:r w:rsidRPr="00200773">
              <w:rPr>
                <w:rFonts w:ascii="Times New Roman" w:hAnsi="Times New Roman"/>
                <w:sz w:val="20"/>
                <w:szCs w:val="20"/>
                <w:shd w:val="clear" w:color="auto" w:fill="FFFFFF"/>
              </w:rPr>
              <w:t>40</w:t>
            </w:r>
            <w:r w:rsidR="00600F00" w:rsidRPr="00200773">
              <w:rPr>
                <w:rFonts w:ascii="Times New Roman" w:hAnsi="Times New Roman"/>
                <w:sz w:val="20"/>
                <w:szCs w:val="20"/>
                <w:shd w:val="clear" w:color="auto" w:fill="FFFFFF"/>
              </w:rPr>
              <w:t xml:space="preserve"> unidades</w:t>
            </w:r>
          </w:p>
        </w:tc>
        <w:tc>
          <w:tcPr>
            <w:tcW w:w="1559" w:type="dxa"/>
            <w:vAlign w:val="center"/>
          </w:tcPr>
          <w:p w:rsidR="0002690D" w:rsidRPr="00200773" w:rsidRDefault="006A15FC" w:rsidP="003C360D">
            <w:pPr>
              <w:jc w:val="center"/>
              <w:rPr>
                <w:rFonts w:ascii="Times New Roman" w:hAnsi="Times New Roman"/>
                <w:sz w:val="20"/>
                <w:szCs w:val="20"/>
                <w:shd w:val="clear" w:color="auto" w:fill="FFFFFF"/>
              </w:rPr>
            </w:pPr>
            <w:r w:rsidRPr="00200773">
              <w:rPr>
                <w:rFonts w:ascii="Times New Roman" w:hAnsi="Times New Roman"/>
                <w:sz w:val="20"/>
                <w:szCs w:val="20"/>
                <w:shd w:val="clear" w:color="auto" w:fill="FFFFFF"/>
              </w:rPr>
              <w:t xml:space="preserve">R$ </w:t>
            </w:r>
            <w:r w:rsidR="003C360D" w:rsidRPr="00200773">
              <w:rPr>
                <w:rFonts w:ascii="Times New Roman" w:hAnsi="Times New Roman"/>
                <w:sz w:val="20"/>
                <w:szCs w:val="20"/>
                <w:shd w:val="clear" w:color="auto" w:fill="FFFFFF"/>
              </w:rPr>
              <w:t>6.914,99</w:t>
            </w:r>
          </w:p>
        </w:tc>
        <w:tc>
          <w:tcPr>
            <w:tcW w:w="2065" w:type="dxa"/>
            <w:vAlign w:val="center"/>
          </w:tcPr>
          <w:p w:rsidR="0002690D" w:rsidRPr="00200773" w:rsidRDefault="006A15FC" w:rsidP="003C360D">
            <w:pPr>
              <w:ind w:right="256"/>
              <w:jc w:val="right"/>
              <w:rPr>
                <w:rFonts w:ascii="Times New Roman" w:hAnsi="Times New Roman"/>
                <w:b/>
                <w:sz w:val="20"/>
                <w:szCs w:val="20"/>
                <w:shd w:val="clear" w:color="auto" w:fill="FFFFFF"/>
              </w:rPr>
            </w:pPr>
            <w:r w:rsidRPr="00200773">
              <w:rPr>
                <w:rFonts w:ascii="Times New Roman" w:hAnsi="Times New Roman"/>
                <w:b/>
                <w:sz w:val="20"/>
                <w:szCs w:val="20"/>
                <w:shd w:val="clear" w:color="auto" w:fill="FFFFFF"/>
              </w:rPr>
              <w:t xml:space="preserve">R$ </w:t>
            </w:r>
            <w:r w:rsidR="003C360D" w:rsidRPr="00200773">
              <w:rPr>
                <w:rFonts w:ascii="Times New Roman" w:hAnsi="Times New Roman"/>
                <w:b/>
                <w:sz w:val="20"/>
                <w:szCs w:val="20"/>
                <w:shd w:val="clear" w:color="auto" w:fill="FFFFFF"/>
              </w:rPr>
              <w:t>276.599,60</w:t>
            </w:r>
          </w:p>
        </w:tc>
      </w:tr>
      <w:tr w:rsidR="0002690D" w:rsidRPr="003C360D" w:rsidTr="002D483A">
        <w:tc>
          <w:tcPr>
            <w:tcW w:w="616" w:type="dxa"/>
            <w:vAlign w:val="center"/>
          </w:tcPr>
          <w:p w:rsidR="0002690D" w:rsidRPr="00200773" w:rsidRDefault="00746DAF" w:rsidP="0002690D">
            <w:pPr>
              <w:jc w:val="center"/>
              <w:rPr>
                <w:rFonts w:ascii="Times New Roman" w:hAnsi="Times New Roman"/>
                <w:sz w:val="20"/>
                <w:szCs w:val="20"/>
                <w:shd w:val="clear" w:color="auto" w:fill="FFFFFF"/>
              </w:rPr>
            </w:pPr>
            <w:r w:rsidRPr="00200773">
              <w:rPr>
                <w:rFonts w:ascii="Times New Roman" w:hAnsi="Times New Roman"/>
                <w:sz w:val="20"/>
                <w:szCs w:val="20"/>
                <w:shd w:val="clear" w:color="auto" w:fill="FFFFFF"/>
              </w:rPr>
              <w:t>2</w:t>
            </w:r>
          </w:p>
        </w:tc>
        <w:tc>
          <w:tcPr>
            <w:tcW w:w="3637" w:type="dxa"/>
            <w:vAlign w:val="center"/>
          </w:tcPr>
          <w:p w:rsidR="0002690D" w:rsidRPr="00084A6D" w:rsidRDefault="003C360D" w:rsidP="00746DAF">
            <w:pPr>
              <w:rPr>
                <w:rFonts w:ascii="Times New Roman" w:hAnsi="Times New Roman"/>
                <w:sz w:val="20"/>
                <w:szCs w:val="20"/>
                <w:shd w:val="clear" w:color="auto" w:fill="FFFFFF"/>
              </w:rPr>
            </w:pPr>
            <w:r w:rsidRPr="00084A6D">
              <w:rPr>
                <w:rFonts w:ascii="Times New Roman" w:hAnsi="Times New Roman"/>
                <w:sz w:val="20"/>
                <w:szCs w:val="20"/>
                <w:shd w:val="clear" w:color="auto" w:fill="FFFFFF"/>
              </w:rPr>
              <w:t>Tanque de Expansão com capacidade 1.000 litros, refrigeração de leite para 02 (duas) ordenhas. Tanque em aço inox AISI 304. Sistema de expansão direta. Timer com marcador digital de temperatura. Motor redutor com pá agitadora em aço inox AISI 304, com acabamento sanitário</w:t>
            </w:r>
            <w:r w:rsidR="00600F00" w:rsidRPr="00084A6D">
              <w:rPr>
                <w:rFonts w:ascii="Times New Roman" w:hAnsi="Times New Roman"/>
                <w:sz w:val="20"/>
                <w:szCs w:val="20"/>
                <w:shd w:val="clear" w:color="auto" w:fill="FFFFFF"/>
              </w:rPr>
              <w:t>.</w:t>
            </w:r>
          </w:p>
        </w:tc>
        <w:tc>
          <w:tcPr>
            <w:tcW w:w="1276" w:type="dxa"/>
            <w:vAlign w:val="center"/>
          </w:tcPr>
          <w:p w:rsidR="0002690D" w:rsidRPr="00200773" w:rsidRDefault="003C360D" w:rsidP="0002690D">
            <w:pPr>
              <w:jc w:val="center"/>
              <w:rPr>
                <w:rFonts w:ascii="Times New Roman" w:hAnsi="Times New Roman"/>
                <w:sz w:val="20"/>
                <w:szCs w:val="20"/>
                <w:shd w:val="clear" w:color="auto" w:fill="FFFFFF"/>
              </w:rPr>
            </w:pPr>
            <w:r w:rsidRPr="00200773">
              <w:rPr>
                <w:rFonts w:ascii="Times New Roman" w:hAnsi="Times New Roman"/>
                <w:sz w:val="20"/>
                <w:szCs w:val="20"/>
                <w:shd w:val="clear" w:color="auto" w:fill="FFFFFF"/>
              </w:rPr>
              <w:t>80 unidades</w:t>
            </w:r>
          </w:p>
        </w:tc>
        <w:tc>
          <w:tcPr>
            <w:tcW w:w="1559" w:type="dxa"/>
            <w:vAlign w:val="center"/>
          </w:tcPr>
          <w:p w:rsidR="0002690D" w:rsidRPr="00200773" w:rsidRDefault="00746DAF" w:rsidP="00600F00">
            <w:pPr>
              <w:jc w:val="center"/>
              <w:rPr>
                <w:rFonts w:ascii="Times New Roman" w:hAnsi="Times New Roman"/>
                <w:sz w:val="20"/>
                <w:szCs w:val="20"/>
                <w:shd w:val="clear" w:color="auto" w:fill="FFFFFF"/>
              </w:rPr>
            </w:pPr>
            <w:r w:rsidRPr="00200773">
              <w:rPr>
                <w:rFonts w:ascii="Times New Roman" w:hAnsi="Times New Roman"/>
                <w:sz w:val="20"/>
                <w:szCs w:val="20"/>
                <w:shd w:val="clear" w:color="auto" w:fill="FFFFFF"/>
              </w:rPr>
              <w:t xml:space="preserve">R$ </w:t>
            </w:r>
            <w:r w:rsidR="003C360D" w:rsidRPr="00200773">
              <w:rPr>
                <w:rFonts w:ascii="Times New Roman" w:hAnsi="Times New Roman"/>
                <w:sz w:val="20"/>
                <w:szCs w:val="20"/>
                <w:shd w:val="clear" w:color="auto" w:fill="FFFFFF"/>
              </w:rPr>
              <w:t>12.419,52</w:t>
            </w:r>
          </w:p>
        </w:tc>
        <w:tc>
          <w:tcPr>
            <w:tcW w:w="2065" w:type="dxa"/>
            <w:vAlign w:val="center"/>
          </w:tcPr>
          <w:p w:rsidR="0002690D" w:rsidRPr="00200773" w:rsidRDefault="00746DAF" w:rsidP="001714B9">
            <w:pPr>
              <w:ind w:right="256"/>
              <w:jc w:val="right"/>
              <w:rPr>
                <w:rFonts w:ascii="Times New Roman" w:hAnsi="Times New Roman"/>
                <w:b/>
                <w:sz w:val="20"/>
                <w:szCs w:val="20"/>
                <w:shd w:val="clear" w:color="auto" w:fill="FFFFFF"/>
              </w:rPr>
            </w:pPr>
            <w:r w:rsidRPr="00200773">
              <w:rPr>
                <w:rFonts w:ascii="Times New Roman" w:hAnsi="Times New Roman"/>
                <w:b/>
                <w:sz w:val="20"/>
                <w:szCs w:val="20"/>
                <w:shd w:val="clear" w:color="auto" w:fill="FFFFFF"/>
              </w:rPr>
              <w:t xml:space="preserve">R$ </w:t>
            </w:r>
            <w:r w:rsidR="003C360D" w:rsidRPr="00200773">
              <w:rPr>
                <w:rFonts w:ascii="Times New Roman" w:hAnsi="Times New Roman"/>
                <w:b/>
                <w:sz w:val="20"/>
                <w:szCs w:val="20"/>
                <w:shd w:val="clear" w:color="auto" w:fill="FFFFFF"/>
              </w:rPr>
              <w:t>993.561,60</w:t>
            </w:r>
          </w:p>
        </w:tc>
      </w:tr>
      <w:tr w:rsidR="0002690D" w:rsidRPr="003C360D" w:rsidTr="002D483A">
        <w:tc>
          <w:tcPr>
            <w:tcW w:w="616" w:type="dxa"/>
            <w:vAlign w:val="center"/>
          </w:tcPr>
          <w:p w:rsidR="0002690D" w:rsidRPr="00200773" w:rsidRDefault="00B47160" w:rsidP="0002690D">
            <w:pPr>
              <w:jc w:val="center"/>
              <w:rPr>
                <w:rFonts w:ascii="Times New Roman" w:hAnsi="Times New Roman"/>
                <w:sz w:val="20"/>
                <w:szCs w:val="20"/>
                <w:shd w:val="clear" w:color="auto" w:fill="FFFFFF"/>
              </w:rPr>
            </w:pPr>
            <w:r w:rsidRPr="00200773">
              <w:rPr>
                <w:rFonts w:ascii="Times New Roman" w:hAnsi="Times New Roman"/>
                <w:sz w:val="20"/>
                <w:szCs w:val="20"/>
                <w:shd w:val="clear" w:color="auto" w:fill="FFFFFF"/>
              </w:rPr>
              <w:t>3</w:t>
            </w:r>
          </w:p>
        </w:tc>
        <w:tc>
          <w:tcPr>
            <w:tcW w:w="3637" w:type="dxa"/>
            <w:vAlign w:val="center"/>
          </w:tcPr>
          <w:p w:rsidR="0002690D" w:rsidRPr="00084A6D" w:rsidRDefault="003C360D" w:rsidP="00B47160">
            <w:pPr>
              <w:rPr>
                <w:rFonts w:ascii="Times New Roman" w:hAnsi="Times New Roman"/>
                <w:sz w:val="20"/>
                <w:szCs w:val="20"/>
                <w:shd w:val="clear" w:color="auto" w:fill="FFFFFF"/>
              </w:rPr>
            </w:pPr>
            <w:r w:rsidRPr="00084A6D">
              <w:rPr>
                <w:rFonts w:ascii="Times New Roman" w:hAnsi="Times New Roman"/>
                <w:sz w:val="20"/>
                <w:szCs w:val="20"/>
                <w:shd w:val="clear" w:color="auto" w:fill="FFFFFF"/>
              </w:rPr>
              <w:t>Tanque de Expansão capacidade 2.000 litros, refrigeração de leite para 02 (duas) ordenhas. Tanque em aço inox AISI 304. Sistema de expansão direta. Timer com marcador digital de temperatura. Motor redutor com pá agitadora em aço inox AISI 304, com acabamento sanitário</w:t>
            </w:r>
          </w:p>
        </w:tc>
        <w:tc>
          <w:tcPr>
            <w:tcW w:w="1276" w:type="dxa"/>
            <w:vAlign w:val="center"/>
          </w:tcPr>
          <w:p w:rsidR="0002690D" w:rsidRPr="00200773" w:rsidRDefault="003C360D" w:rsidP="0002690D">
            <w:pPr>
              <w:jc w:val="center"/>
              <w:rPr>
                <w:rFonts w:ascii="Times New Roman" w:hAnsi="Times New Roman"/>
                <w:sz w:val="20"/>
                <w:szCs w:val="20"/>
                <w:shd w:val="clear" w:color="auto" w:fill="FFFFFF"/>
              </w:rPr>
            </w:pPr>
            <w:r w:rsidRPr="00200773">
              <w:rPr>
                <w:rFonts w:ascii="Times New Roman" w:hAnsi="Times New Roman"/>
                <w:sz w:val="20"/>
                <w:szCs w:val="20"/>
                <w:shd w:val="clear" w:color="auto" w:fill="FFFFFF"/>
              </w:rPr>
              <w:t>60</w:t>
            </w:r>
            <w:r w:rsidR="00600F00" w:rsidRPr="00200773">
              <w:rPr>
                <w:rFonts w:ascii="Times New Roman" w:hAnsi="Times New Roman"/>
                <w:sz w:val="20"/>
                <w:szCs w:val="20"/>
                <w:shd w:val="clear" w:color="auto" w:fill="FFFFFF"/>
              </w:rPr>
              <w:t xml:space="preserve"> unidades</w:t>
            </w:r>
          </w:p>
        </w:tc>
        <w:tc>
          <w:tcPr>
            <w:tcW w:w="1559" w:type="dxa"/>
            <w:vAlign w:val="center"/>
          </w:tcPr>
          <w:p w:rsidR="0002690D" w:rsidRPr="00200773" w:rsidRDefault="00B47160" w:rsidP="001714B9">
            <w:pPr>
              <w:jc w:val="center"/>
              <w:rPr>
                <w:rFonts w:ascii="Times New Roman" w:hAnsi="Times New Roman"/>
                <w:sz w:val="20"/>
                <w:szCs w:val="20"/>
                <w:shd w:val="clear" w:color="auto" w:fill="FFFFFF"/>
              </w:rPr>
            </w:pPr>
            <w:r w:rsidRPr="00200773">
              <w:rPr>
                <w:rFonts w:ascii="Times New Roman" w:hAnsi="Times New Roman"/>
                <w:sz w:val="20"/>
                <w:szCs w:val="20"/>
                <w:shd w:val="clear" w:color="auto" w:fill="FFFFFF"/>
              </w:rPr>
              <w:t>R$</w:t>
            </w:r>
            <w:r w:rsidR="003C360D" w:rsidRPr="00200773">
              <w:rPr>
                <w:rFonts w:ascii="Times New Roman" w:hAnsi="Times New Roman"/>
                <w:sz w:val="20"/>
                <w:szCs w:val="20"/>
                <w:shd w:val="clear" w:color="auto" w:fill="FFFFFF"/>
              </w:rPr>
              <w:t>21.113,00</w:t>
            </w:r>
          </w:p>
        </w:tc>
        <w:tc>
          <w:tcPr>
            <w:tcW w:w="2065" w:type="dxa"/>
            <w:vAlign w:val="center"/>
          </w:tcPr>
          <w:p w:rsidR="0002690D" w:rsidRPr="00200773" w:rsidRDefault="00B47160" w:rsidP="003C360D">
            <w:pPr>
              <w:ind w:right="256"/>
              <w:jc w:val="right"/>
              <w:rPr>
                <w:rFonts w:ascii="Times New Roman" w:hAnsi="Times New Roman"/>
                <w:b/>
                <w:sz w:val="20"/>
                <w:szCs w:val="20"/>
                <w:shd w:val="clear" w:color="auto" w:fill="FFFFFF"/>
              </w:rPr>
            </w:pPr>
            <w:r w:rsidRPr="00200773">
              <w:rPr>
                <w:rFonts w:ascii="Times New Roman" w:hAnsi="Times New Roman"/>
                <w:b/>
                <w:sz w:val="20"/>
                <w:szCs w:val="20"/>
                <w:shd w:val="clear" w:color="auto" w:fill="FFFFFF"/>
              </w:rPr>
              <w:t xml:space="preserve">R$ </w:t>
            </w:r>
            <w:r w:rsidR="003C360D" w:rsidRPr="00200773">
              <w:rPr>
                <w:rFonts w:ascii="Times New Roman" w:hAnsi="Times New Roman"/>
                <w:b/>
                <w:sz w:val="20"/>
                <w:szCs w:val="20"/>
                <w:shd w:val="clear" w:color="auto" w:fill="FFFFFF"/>
              </w:rPr>
              <w:t>1.266.780,00</w:t>
            </w:r>
          </w:p>
        </w:tc>
      </w:tr>
      <w:tr w:rsidR="00B47160" w:rsidRPr="003C360D" w:rsidTr="00B47160">
        <w:tc>
          <w:tcPr>
            <w:tcW w:w="7088" w:type="dxa"/>
            <w:gridSpan w:val="4"/>
            <w:vAlign w:val="center"/>
          </w:tcPr>
          <w:p w:rsidR="00B47160" w:rsidRPr="003C360D" w:rsidRDefault="00B47160" w:rsidP="00B47160">
            <w:pPr>
              <w:jc w:val="right"/>
              <w:rPr>
                <w:rFonts w:ascii="Times New Roman" w:hAnsi="Times New Roman"/>
                <w:b/>
                <w:sz w:val="20"/>
                <w:szCs w:val="20"/>
                <w:shd w:val="clear" w:color="auto" w:fill="FFFFFF"/>
              </w:rPr>
            </w:pPr>
            <w:r w:rsidRPr="003C360D">
              <w:rPr>
                <w:rFonts w:ascii="Times New Roman" w:hAnsi="Times New Roman"/>
                <w:b/>
                <w:sz w:val="20"/>
                <w:szCs w:val="20"/>
                <w:shd w:val="clear" w:color="auto" w:fill="FFFFFF"/>
              </w:rPr>
              <w:t>Valor Total</w:t>
            </w:r>
          </w:p>
        </w:tc>
        <w:tc>
          <w:tcPr>
            <w:tcW w:w="2065" w:type="dxa"/>
            <w:vAlign w:val="center"/>
          </w:tcPr>
          <w:p w:rsidR="00B47160" w:rsidRPr="003C360D" w:rsidRDefault="00B47160" w:rsidP="003C360D">
            <w:pPr>
              <w:ind w:right="256"/>
              <w:jc w:val="right"/>
              <w:rPr>
                <w:rFonts w:ascii="Times New Roman" w:hAnsi="Times New Roman"/>
                <w:b/>
                <w:sz w:val="20"/>
                <w:szCs w:val="20"/>
                <w:shd w:val="clear" w:color="auto" w:fill="FFFFFF"/>
              </w:rPr>
            </w:pPr>
            <w:r w:rsidRPr="003C360D">
              <w:rPr>
                <w:rFonts w:ascii="Times New Roman" w:hAnsi="Times New Roman"/>
                <w:b/>
                <w:sz w:val="20"/>
                <w:szCs w:val="20"/>
                <w:shd w:val="clear" w:color="auto" w:fill="FFFFFF"/>
              </w:rPr>
              <w:t xml:space="preserve">R$ </w:t>
            </w:r>
            <w:r w:rsidR="003C360D" w:rsidRPr="003C360D">
              <w:rPr>
                <w:rFonts w:ascii="Times New Roman" w:hAnsi="Times New Roman"/>
                <w:b/>
                <w:sz w:val="20"/>
                <w:szCs w:val="20"/>
                <w:shd w:val="clear" w:color="auto" w:fill="FFFFFF"/>
              </w:rPr>
              <w:t>2.536.941,20</w:t>
            </w:r>
          </w:p>
        </w:tc>
      </w:tr>
    </w:tbl>
    <w:p w:rsidR="00174CC5" w:rsidRPr="003E7746" w:rsidRDefault="00174CC5" w:rsidP="00D04550">
      <w:pPr>
        <w:rPr>
          <w:rFonts w:ascii="Times New Roman" w:hAnsi="Times New Roman"/>
          <w:shd w:val="clear" w:color="auto" w:fill="FFFFFF"/>
        </w:rPr>
      </w:pPr>
    </w:p>
    <w:p w:rsidR="006D5259" w:rsidRPr="003E7746" w:rsidRDefault="006D5259" w:rsidP="00D04550">
      <w:pPr>
        <w:rPr>
          <w:rFonts w:ascii="Times New Roman" w:hAnsi="Times New Roman"/>
          <w:shd w:val="clear" w:color="auto" w:fill="FFFFFF"/>
        </w:rPr>
      </w:pPr>
    </w:p>
    <w:p w:rsidR="00546B21" w:rsidRPr="003E7746" w:rsidRDefault="00546B21" w:rsidP="00546B21">
      <w:pPr>
        <w:pStyle w:val="Textbody"/>
        <w:spacing w:after="0"/>
        <w:ind w:firstLine="708"/>
        <w:jc w:val="both"/>
        <w:rPr>
          <w:rFonts w:eastAsia="Calibri" w:cs="Times New Roman"/>
          <w:b/>
          <w:bCs/>
        </w:rPr>
      </w:pPr>
      <w:r w:rsidRPr="003E7746">
        <w:rPr>
          <w:rFonts w:eastAsia="Calibri" w:cs="Times New Roman"/>
          <w:b/>
          <w:bCs/>
        </w:rPr>
        <w:t xml:space="preserve">4.5. Alinhamento da demanda com o Planejamento Estratégico Institucional </w:t>
      </w:r>
      <w:r w:rsidR="00BC4852" w:rsidRPr="003E7746">
        <w:rPr>
          <w:rFonts w:eastAsia="Calibri" w:cs="Times New Roman"/>
          <w:b/>
          <w:bCs/>
        </w:rPr>
        <w:t>–</w:t>
      </w:r>
      <w:r w:rsidRPr="003E7746">
        <w:rPr>
          <w:rFonts w:eastAsia="Calibri" w:cs="Times New Roman"/>
          <w:b/>
          <w:bCs/>
        </w:rPr>
        <w:t xml:space="preserve"> PEI</w:t>
      </w:r>
      <w:r w:rsidR="00BC4852" w:rsidRPr="003E7746">
        <w:rPr>
          <w:rFonts w:eastAsia="Calibri" w:cs="Times New Roman"/>
          <w:b/>
          <w:bCs/>
        </w:rPr>
        <w:t xml:space="preserve"> da </w:t>
      </w:r>
      <w:r w:rsidR="007B7BD6" w:rsidRPr="003E7746">
        <w:rPr>
          <w:rFonts w:eastAsia="Calibri" w:cs="Times New Roman"/>
          <w:b/>
          <w:bCs/>
        </w:rPr>
        <w:t>CODEVASF</w:t>
      </w:r>
    </w:p>
    <w:p w:rsidR="00546B21" w:rsidRPr="003E7746" w:rsidRDefault="00546B21" w:rsidP="00546B21">
      <w:pPr>
        <w:rPr>
          <w:rFonts w:ascii="Times New Roman" w:hAnsi="Times New Roman"/>
        </w:rPr>
      </w:pPr>
    </w:p>
    <w:p w:rsidR="00546B21" w:rsidRPr="003E7746" w:rsidRDefault="00546B21" w:rsidP="00546B21">
      <w:pPr>
        <w:rPr>
          <w:rFonts w:ascii="Times New Roman" w:hAnsi="Times New Roman"/>
        </w:rPr>
      </w:pPr>
      <w:r w:rsidRPr="003E7746">
        <w:rPr>
          <w:rFonts w:ascii="Times New Roman" w:hAnsi="Times New Roman"/>
        </w:rPr>
        <w:t>Tal demanda se alinha ao Planejamento Estratégico Institucional – PEI (</w:t>
      </w:r>
      <w:r w:rsidR="00ED4DF2" w:rsidRPr="003E7746">
        <w:rPr>
          <w:rFonts w:ascii="Times New Roman" w:hAnsi="Times New Roman"/>
        </w:rPr>
        <w:t>2022-2026</w:t>
      </w:r>
      <w:r w:rsidRPr="003E7746">
        <w:rPr>
          <w:rFonts w:ascii="Times New Roman" w:hAnsi="Times New Roman"/>
        </w:rPr>
        <w:t xml:space="preserve">) da </w:t>
      </w:r>
      <w:r w:rsidR="007B7BD6" w:rsidRPr="003E7746">
        <w:rPr>
          <w:rFonts w:ascii="Times New Roman" w:hAnsi="Times New Roman"/>
        </w:rPr>
        <w:t>Codevasf</w:t>
      </w:r>
      <w:r w:rsidRPr="003E7746">
        <w:rPr>
          <w:rFonts w:ascii="Times New Roman" w:hAnsi="Times New Roman"/>
        </w:rPr>
        <w:t xml:space="preserve"> no que se refere à melhoria contínua de processos de desenvolvimento das áreas onde a empresa atua detalhados no Plano Anual de Negócios da </w:t>
      </w:r>
      <w:r w:rsidR="00A05F8D" w:rsidRPr="003E7746">
        <w:rPr>
          <w:rFonts w:ascii="Times New Roman" w:hAnsi="Times New Roman"/>
        </w:rPr>
        <w:t>Codevasf</w:t>
      </w:r>
      <w:r w:rsidRPr="003E7746">
        <w:rPr>
          <w:rFonts w:ascii="Times New Roman" w:hAnsi="Times New Roman"/>
        </w:rPr>
        <w:t>.</w:t>
      </w:r>
    </w:p>
    <w:p w:rsidR="00D05265" w:rsidRDefault="00D05265" w:rsidP="00D04550">
      <w:pPr>
        <w:rPr>
          <w:rFonts w:ascii="Times New Roman" w:hAnsi="Times New Roman"/>
          <w:shd w:val="clear" w:color="auto" w:fill="FFFFFF"/>
        </w:rPr>
      </w:pPr>
    </w:p>
    <w:p w:rsidR="00174CC5" w:rsidRPr="003E7746" w:rsidRDefault="00174CC5" w:rsidP="00D04550">
      <w:pPr>
        <w:rPr>
          <w:rFonts w:ascii="Times New Roman" w:hAnsi="Times New Roman"/>
          <w:shd w:val="clear" w:color="auto" w:fill="FFFFFF"/>
        </w:rPr>
      </w:pPr>
    </w:p>
    <w:p w:rsidR="00546B21" w:rsidRPr="003E7746" w:rsidRDefault="00546B21" w:rsidP="00546B21">
      <w:pPr>
        <w:pStyle w:val="Textbody"/>
        <w:spacing w:after="0"/>
        <w:ind w:firstLine="708"/>
        <w:jc w:val="both"/>
        <w:rPr>
          <w:rFonts w:eastAsia="Calibri" w:cs="Times New Roman"/>
          <w:b/>
          <w:bCs/>
        </w:rPr>
      </w:pPr>
      <w:r w:rsidRPr="003E7746">
        <w:rPr>
          <w:rFonts w:eastAsia="Calibri" w:cs="Times New Roman"/>
          <w:b/>
          <w:bCs/>
        </w:rPr>
        <w:t xml:space="preserve">4.6. Levantamento dos quantitativos a contratar </w:t>
      </w:r>
    </w:p>
    <w:p w:rsidR="00546B21" w:rsidRPr="003E7746" w:rsidRDefault="00546B21" w:rsidP="00546B21">
      <w:pPr>
        <w:rPr>
          <w:rFonts w:ascii="Times New Roman" w:hAnsi="Times New Roman"/>
        </w:rPr>
      </w:pPr>
    </w:p>
    <w:p w:rsidR="00546B21" w:rsidRPr="003E7746" w:rsidRDefault="00546B21" w:rsidP="00546B21">
      <w:pPr>
        <w:rPr>
          <w:rFonts w:ascii="Times New Roman" w:hAnsi="Times New Roman"/>
        </w:rPr>
      </w:pPr>
      <w:r w:rsidRPr="003E7746">
        <w:rPr>
          <w:rFonts w:ascii="Times New Roman" w:hAnsi="Times New Roman"/>
        </w:rPr>
        <w:t xml:space="preserve">O levantamento da demanda foi realizado </w:t>
      </w:r>
      <w:r w:rsidR="00D973F0" w:rsidRPr="003E7746">
        <w:rPr>
          <w:rFonts w:ascii="Times New Roman" w:hAnsi="Times New Roman"/>
        </w:rPr>
        <w:t>por meio</w:t>
      </w:r>
      <w:r w:rsidRPr="003E7746">
        <w:rPr>
          <w:rFonts w:ascii="Times New Roman" w:hAnsi="Times New Roman"/>
        </w:rPr>
        <w:t xml:space="preserve"> da mensuração de aquisições de anos anteriores e de demand</w:t>
      </w:r>
      <w:r w:rsidR="003E7746" w:rsidRPr="003E7746">
        <w:rPr>
          <w:rFonts w:ascii="Times New Roman" w:hAnsi="Times New Roman"/>
        </w:rPr>
        <w:t>as previstas para o ano de 2023</w:t>
      </w:r>
      <w:r w:rsidRPr="003E7746">
        <w:rPr>
          <w:rFonts w:ascii="Times New Roman" w:hAnsi="Times New Roman"/>
        </w:rPr>
        <w:t>, considerando que atualmente 212</w:t>
      </w:r>
      <w:r w:rsidR="00D973F0" w:rsidRPr="003E7746">
        <w:rPr>
          <w:rFonts w:ascii="Times New Roman" w:hAnsi="Times New Roman"/>
        </w:rPr>
        <w:t xml:space="preserve"> (duzentos e doze)</w:t>
      </w:r>
      <w:r w:rsidRPr="003E7746">
        <w:rPr>
          <w:rFonts w:ascii="Times New Roman" w:hAnsi="Times New Roman"/>
        </w:rPr>
        <w:t xml:space="preserve"> municípios </w:t>
      </w:r>
      <w:r w:rsidR="00F57B37" w:rsidRPr="003E7746">
        <w:rPr>
          <w:rFonts w:ascii="Times New Roman" w:hAnsi="Times New Roman"/>
        </w:rPr>
        <w:t xml:space="preserve">baianos </w:t>
      </w:r>
      <w:r w:rsidRPr="003E7746">
        <w:rPr>
          <w:rFonts w:ascii="Times New Roman" w:hAnsi="Times New Roman"/>
        </w:rPr>
        <w:t xml:space="preserve">fazem parte da área de jurisdição da 2ª Superintendência Regional da </w:t>
      </w:r>
      <w:r w:rsidR="007B7BD6" w:rsidRPr="003E7746">
        <w:rPr>
          <w:rFonts w:ascii="Times New Roman" w:hAnsi="Times New Roman"/>
        </w:rPr>
        <w:t>Codevasf</w:t>
      </w:r>
      <w:r w:rsidRPr="003E7746">
        <w:rPr>
          <w:rFonts w:ascii="Times New Roman" w:hAnsi="Times New Roman"/>
        </w:rPr>
        <w:t>.</w:t>
      </w:r>
      <w:r w:rsidR="000A1C86" w:rsidRPr="003E7746">
        <w:rPr>
          <w:rFonts w:ascii="Times New Roman" w:hAnsi="Times New Roman"/>
        </w:rPr>
        <w:t xml:space="preserve"> Ressalta-se que a licitação a ser realizada também </w:t>
      </w:r>
      <w:r w:rsidR="003E7746" w:rsidRPr="003E7746">
        <w:rPr>
          <w:rFonts w:ascii="Times New Roman" w:hAnsi="Times New Roman"/>
        </w:rPr>
        <w:t>poderá atender</w:t>
      </w:r>
      <w:r w:rsidR="000A1C86" w:rsidRPr="003E7746">
        <w:rPr>
          <w:rFonts w:ascii="Times New Roman" w:hAnsi="Times New Roman"/>
        </w:rPr>
        <w:t xml:space="preserve"> demandas d</w:t>
      </w:r>
      <w:r w:rsidR="003E7746" w:rsidRPr="003E7746">
        <w:rPr>
          <w:rFonts w:ascii="Times New Roman" w:hAnsi="Times New Roman"/>
        </w:rPr>
        <w:t>o exercício orçamentário de 2024</w:t>
      </w:r>
      <w:r w:rsidR="000A1C86" w:rsidRPr="003E7746">
        <w:rPr>
          <w:rFonts w:ascii="Times New Roman" w:hAnsi="Times New Roman"/>
        </w:rPr>
        <w:t>.</w:t>
      </w:r>
    </w:p>
    <w:p w:rsidR="00D05265" w:rsidRPr="00A76993" w:rsidRDefault="00D05265" w:rsidP="00D04550">
      <w:pPr>
        <w:rPr>
          <w:rFonts w:ascii="Times New Roman" w:hAnsi="Times New Roman"/>
          <w:shd w:val="clear" w:color="auto" w:fill="FFFFFF"/>
        </w:rPr>
      </w:pPr>
    </w:p>
    <w:p w:rsidR="00674AE7" w:rsidRPr="00A76993" w:rsidRDefault="00674AE7" w:rsidP="00674AE7">
      <w:pPr>
        <w:pStyle w:val="Textbody"/>
        <w:spacing w:after="0"/>
        <w:ind w:firstLine="708"/>
        <w:jc w:val="both"/>
        <w:rPr>
          <w:rFonts w:eastAsia="Calibri" w:cs="Times New Roman"/>
          <w:b/>
          <w:bCs/>
        </w:rPr>
      </w:pPr>
      <w:r w:rsidRPr="00A76993">
        <w:rPr>
          <w:rFonts w:eastAsia="Calibri" w:cs="Times New Roman"/>
          <w:b/>
          <w:bCs/>
        </w:rPr>
        <w:t xml:space="preserve">4.7. Resultados pretendidos </w:t>
      </w:r>
    </w:p>
    <w:p w:rsidR="00674AE7" w:rsidRPr="00A76993" w:rsidRDefault="00674AE7" w:rsidP="00674AE7">
      <w:pPr>
        <w:rPr>
          <w:rFonts w:ascii="Times New Roman" w:hAnsi="Times New Roman"/>
        </w:rPr>
      </w:pPr>
    </w:p>
    <w:p w:rsidR="00674AE7" w:rsidRPr="00A76993" w:rsidRDefault="00674AE7" w:rsidP="00674AE7">
      <w:pPr>
        <w:rPr>
          <w:rFonts w:ascii="Times New Roman" w:hAnsi="Times New Roman"/>
        </w:rPr>
      </w:pPr>
      <w:r w:rsidRPr="00A76993">
        <w:rPr>
          <w:rFonts w:ascii="Times New Roman" w:hAnsi="Times New Roman"/>
        </w:rPr>
        <w:t xml:space="preserve">Promover ações com intuito de melhorar a vida das pessoas que serão beneficiadas com as doações dos objetos licitados (associações comunitárias, </w:t>
      </w:r>
      <w:r w:rsidR="00EB31F4" w:rsidRPr="00A76993">
        <w:rPr>
          <w:rFonts w:ascii="Times New Roman" w:hAnsi="Times New Roman"/>
        </w:rPr>
        <w:t xml:space="preserve">cooperativas, </w:t>
      </w:r>
      <w:r w:rsidRPr="00A76993">
        <w:rPr>
          <w:rFonts w:ascii="Times New Roman" w:hAnsi="Times New Roman"/>
        </w:rPr>
        <w:t xml:space="preserve">municípios, projetos </w:t>
      </w:r>
      <w:r w:rsidR="006D5259" w:rsidRPr="00A76993">
        <w:rPr>
          <w:rFonts w:ascii="Times New Roman" w:hAnsi="Times New Roman"/>
        </w:rPr>
        <w:t xml:space="preserve">públicos </w:t>
      </w:r>
      <w:r w:rsidRPr="00A76993">
        <w:rPr>
          <w:rFonts w:ascii="Times New Roman" w:hAnsi="Times New Roman"/>
        </w:rPr>
        <w:t>de irrigação, etc.).</w:t>
      </w:r>
    </w:p>
    <w:p w:rsidR="00674AE7" w:rsidRPr="00212A59" w:rsidRDefault="00674AE7" w:rsidP="00D04550">
      <w:pPr>
        <w:rPr>
          <w:rFonts w:ascii="Times New Roman" w:hAnsi="Times New Roman"/>
          <w:shd w:val="clear" w:color="auto" w:fill="FFFFFF"/>
        </w:rPr>
      </w:pPr>
    </w:p>
    <w:p w:rsidR="00D05265" w:rsidRPr="00212A59" w:rsidRDefault="00D05265" w:rsidP="00D04550">
      <w:pPr>
        <w:rPr>
          <w:rFonts w:ascii="Times New Roman" w:hAnsi="Times New Roman"/>
          <w:shd w:val="clear" w:color="auto" w:fill="FFFFFF"/>
        </w:rPr>
      </w:pPr>
    </w:p>
    <w:p w:rsidR="00674AE7" w:rsidRPr="00212A59" w:rsidRDefault="00674AE7" w:rsidP="00674AE7">
      <w:pPr>
        <w:pStyle w:val="Textbody"/>
        <w:spacing w:after="0"/>
        <w:ind w:firstLine="708"/>
        <w:jc w:val="both"/>
        <w:rPr>
          <w:rFonts w:eastAsia="Calibri" w:cs="Times New Roman"/>
          <w:b/>
          <w:bCs/>
        </w:rPr>
      </w:pPr>
      <w:r w:rsidRPr="00212A59">
        <w:rPr>
          <w:rFonts w:eastAsia="Calibri" w:cs="Times New Roman"/>
          <w:b/>
          <w:bCs/>
        </w:rPr>
        <w:t xml:space="preserve">4.8. Possíveis impactos ambientais e critérios de sustentabilidade </w:t>
      </w:r>
    </w:p>
    <w:p w:rsidR="00674AE7" w:rsidRPr="00212A59" w:rsidRDefault="00674AE7" w:rsidP="00674AE7">
      <w:pPr>
        <w:rPr>
          <w:rFonts w:ascii="Times New Roman" w:hAnsi="Times New Roman"/>
        </w:rPr>
      </w:pPr>
    </w:p>
    <w:p w:rsidR="00674AE7" w:rsidRPr="00212A59" w:rsidRDefault="00674AE7" w:rsidP="00674AE7">
      <w:pPr>
        <w:rPr>
          <w:rFonts w:ascii="Times New Roman" w:hAnsi="Times New Roman"/>
        </w:rPr>
      </w:pPr>
      <w:r w:rsidRPr="00212A59">
        <w:rPr>
          <w:rFonts w:ascii="Times New Roman" w:hAnsi="Times New Roman"/>
        </w:rPr>
        <w:t xml:space="preserve">Dada à natureza do objeto que </w:t>
      </w:r>
      <w:r w:rsidR="00642957">
        <w:rPr>
          <w:rFonts w:ascii="Times New Roman" w:hAnsi="Times New Roman"/>
        </w:rPr>
        <w:t>se pretende adquirir, não haverá</w:t>
      </w:r>
      <w:r w:rsidRPr="00212A59">
        <w:rPr>
          <w:rFonts w:ascii="Times New Roman" w:hAnsi="Times New Roman"/>
        </w:rPr>
        <w:t xml:space="preserve"> impactos ambientais. A Contratada deve atender a legislação brasileira para sustentabilidade e meio ambiente.</w:t>
      </w:r>
    </w:p>
    <w:p w:rsidR="00546B21" w:rsidRPr="008B09DB" w:rsidRDefault="00546B21" w:rsidP="00D04550">
      <w:pPr>
        <w:rPr>
          <w:rFonts w:ascii="Times New Roman" w:hAnsi="Times New Roman"/>
          <w:shd w:val="clear" w:color="auto" w:fill="FFFFFF"/>
        </w:rPr>
      </w:pPr>
    </w:p>
    <w:p w:rsidR="00546B21" w:rsidRPr="008B09DB" w:rsidRDefault="00546B21" w:rsidP="00D04550">
      <w:pPr>
        <w:rPr>
          <w:rFonts w:ascii="Times New Roman" w:hAnsi="Times New Roman"/>
          <w:shd w:val="clear" w:color="auto" w:fill="FFFFFF"/>
        </w:rPr>
      </w:pPr>
    </w:p>
    <w:p w:rsidR="00F069C5" w:rsidRPr="008B09DB" w:rsidRDefault="00F069C5" w:rsidP="00F069C5">
      <w:pPr>
        <w:pStyle w:val="Textbody"/>
        <w:spacing w:after="0"/>
        <w:jc w:val="both"/>
        <w:rPr>
          <w:rFonts w:eastAsia="Calibri" w:cs="Times New Roman"/>
          <w:b/>
          <w:bCs/>
        </w:rPr>
      </w:pPr>
      <w:r w:rsidRPr="008B09DB">
        <w:rPr>
          <w:rFonts w:eastAsia="Calibri" w:cs="Times New Roman"/>
          <w:b/>
          <w:bCs/>
        </w:rPr>
        <w:t xml:space="preserve">5. ESTRATÉGIA PARA CONTRATAÇÃO </w:t>
      </w:r>
    </w:p>
    <w:p w:rsidR="00D05265" w:rsidRDefault="00D05265" w:rsidP="00F069C5">
      <w:pPr>
        <w:rPr>
          <w:rFonts w:ascii="Times New Roman" w:hAnsi="Times New Roman"/>
          <w:bCs/>
        </w:rPr>
      </w:pPr>
    </w:p>
    <w:p w:rsidR="00174CC5" w:rsidRPr="008B09DB" w:rsidRDefault="00174CC5" w:rsidP="00F069C5">
      <w:pPr>
        <w:rPr>
          <w:rFonts w:ascii="Times New Roman" w:hAnsi="Times New Roman"/>
          <w:bCs/>
        </w:rPr>
      </w:pPr>
    </w:p>
    <w:p w:rsidR="00F069C5" w:rsidRPr="008B09DB" w:rsidRDefault="00F069C5" w:rsidP="00F069C5">
      <w:pPr>
        <w:pStyle w:val="Textbody"/>
        <w:spacing w:after="0"/>
        <w:ind w:firstLine="708"/>
        <w:jc w:val="both"/>
        <w:rPr>
          <w:rFonts w:eastAsia="Calibri" w:cs="Times New Roman"/>
          <w:b/>
          <w:bCs/>
        </w:rPr>
      </w:pPr>
      <w:r w:rsidRPr="008B09DB">
        <w:rPr>
          <w:rFonts w:eastAsia="Calibri" w:cs="Times New Roman"/>
          <w:b/>
          <w:bCs/>
        </w:rPr>
        <w:t xml:space="preserve">5.1. Natureza do objeto </w:t>
      </w:r>
    </w:p>
    <w:p w:rsidR="00F069C5" w:rsidRPr="008B09DB" w:rsidRDefault="00F069C5" w:rsidP="00F069C5">
      <w:pPr>
        <w:rPr>
          <w:rFonts w:ascii="Times New Roman" w:hAnsi="Times New Roman"/>
        </w:rPr>
      </w:pPr>
    </w:p>
    <w:p w:rsidR="00F069C5" w:rsidRPr="008B09DB" w:rsidRDefault="00F069C5" w:rsidP="00F069C5">
      <w:pPr>
        <w:rPr>
          <w:rFonts w:ascii="Times New Roman" w:hAnsi="Times New Roman"/>
        </w:rPr>
      </w:pPr>
      <w:r w:rsidRPr="008B09DB">
        <w:rPr>
          <w:rFonts w:ascii="Times New Roman" w:hAnsi="Times New Roman"/>
        </w:rPr>
        <w:t>O objeto a ser registrado apresenta padrões de desempenho e qualidade que podem ser objetivamente definidos neste estudo, por meio de especificações usuais no mercado, enquadrando-se na classificação de bens comuns, conforme apregoam os normativos regidos pelo Decreto nº 10.024, de 20 de setembro de 2019.</w:t>
      </w:r>
    </w:p>
    <w:p w:rsidR="00D05265" w:rsidRDefault="00D05265" w:rsidP="00F069C5">
      <w:pPr>
        <w:rPr>
          <w:rFonts w:ascii="Times New Roman" w:hAnsi="Times New Roman"/>
        </w:rPr>
      </w:pPr>
    </w:p>
    <w:p w:rsidR="00174CC5" w:rsidRPr="008B09DB" w:rsidRDefault="00174CC5" w:rsidP="00F069C5">
      <w:pPr>
        <w:rPr>
          <w:rFonts w:ascii="Times New Roman" w:hAnsi="Times New Roman"/>
        </w:rPr>
      </w:pPr>
    </w:p>
    <w:p w:rsidR="00495263" w:rsidRPr="008B09DB" w:rsidRDefault="00495263" w:rsidP="00495263">
      <w:pPr>
        <w:pStyle w:val="Textbody"/>
        <w:spacing w:after="0"/>
        <w:ind w:firstLine="708"/>
        <w:jc w:val="both"/>
        <w:rPr>
          <w:rFonts w:eastAsia="Calibri" w:cs="Times New Roman"/>
          <w:b/>
          <w:bCs/>
        </w:rPr>
      </w:pPr>
      <w:r w:rsidRPr="008B09DB">
        <w:rPr>
          <w:rFonts w:eastAsia="Calibri" w:cs="Times New Roman"/>
          <w:b/>
          <w:bCs/>
        </w:rPr>
        <w:t xml:space="preserve">5.2. Parcelamento do objeto </w:t>
      </w:r>
    </w:p>
    <w:p w:rsidR="00495263" w:rsidRPr="008B09DB" w:rsidRDefault="00495263" w:rsidP="00495263">
      <w:pPr>
        <w:rPr>
          <w:rFonts w:ascii="Times New Roman" w:hAnsi="Times New Roman"/>
        </w:rPr>
      </w:pPr>
    </w:p>
    <w:p w:rsidR="00495263" w:rsidRPr="008B09DB" w:rsidRDefault="00495263" w:rsidP="00495263">
      <w:pPr>
        <w:rPr>
          <w:rFonts w:ascii="Times New Roman" w:hAnsi="Times New Roman"/>
        </w:rPr>
      </w:pPr>
      <w:r w:rsidRPr="008B09DB">
        <w:rPr>
          <w:rFonts w:ascii="Times New Roman" w:hAnsi="Times New Roman"/>
        </w:rPr>
        <w:t>A licitação será por item devido às especificações técnicas dos itens, proporcionando uma maior competição entre as empresas, obtendo a melhor proposta para a administração pública.</w:t>
      </w:r>
    </w:p>
    <w:p w:rsidR="00174CC5" w:rsidRDefault="00174CC5" w:rsidP="00D04550">
      <w:pPr>
        <w:rPr>
          <w:rFonts w:ascii="Times New Roman" w:hAnsi="Times New Roman"/>
          <w:shd w:val="clear" w:color="auto" w:fill="FFFFFF"/>
        </w:rPr>
      </w:pPr>
    </w:p>
    <w:p w:rsidR="00174CC5" w:rsidRDefault="00174CC5" w:rsidP="00D04550">
      <w:pPr>
        <w:rPr>
          <w:rFonts w:ascii="Times New Roman" w:hAnsi="Times New Roman"/>
          <w:shd w:val="clear" w:color="auto" w:fill="FFFFFF"/>
        </w:rPr>
      </w:pPr>
    </w:p>
    <w:p w:rsidR="00495263" w:rsidRPr="008B09DB" w:rsidRDefault="00495263" w:rsidP="00495263">
      <w:pPr>
        <w:pStyle w:val="Textbody"/>
        <w:spacing w:after="0"/>
        <w:ind w:firstLine="708"/>
        <w:jc w:val="both"/>
        <w:rPr>
          <w:rFonts w:eastAsia="Calibri" w:cs="Times New Roman"/>
          <w:b/>
          <w:bCs/>
        </w:rPr>
      </w:pPr>
      <w:r w:rsidRPr="008B09DB">
        <w:rPr>
          <w:rFonts w:eastAsia="Calibri" w:cs="Times New Roman"/>
          <w:b/>
          <w:bCs/>
        </w:rPr>
        <w:t xml:space="preserve">5.3. Modalidade e tipo de licitação </w:t>
      </w:r>
    </w:p>
    <w:p w:rsidR="00495263" w:rsidRPr="008B09DB" w:rsidRDefault="00495263" w:rsidP="00495263">
      <w:pPr>
        <w:rPr>
          <w:rFonts w:ascii="Times New Roman" w:hAnsi="Times New Roman"/>
        </w:rPr>
      </w:pPr>
    </w:p>
    <w:p w:rsidR="00495263" w:rsidRPr="008B09DB" w:rsidRDefault="00495263" w:rsidP="00495263">
      <w:pPr>
        <w:rPr>
          <w:rFonts w:ascii="Times New Roman" w:hAnsi="Times New Roman"/>
        </w:rPr>
      </w:pPr>
      <w:r w:rsidRPr="008B09DB">
        <w:rPr>
          <w:rFonts w:ascii="Times New Roman" w:hAnsi="Times New Roman"/>
        </w:rPr>
        <w:t>Contratação por meio da modalidade licitatória Pregão Eletrônico – Sistema de Registro de Preços (PE/SRP), do tipo Menor Preço por Item.</w:t>
      </w:r>
      <w:r w:rsidR="000A1C86" w:rsidRPr="008B09DB">
        <w:rPr>
          <w:rFonts w:ascii="Times New Roman" w:hAnsi="Times New Roman"/>
        </w:rPr>
        <w:t xml:space="preserve"> Os fornecimentos deverão se</w:t>
      </w:r>
      <w:r w:rsidR="004169F9" w:rsidRPr="008B09DB">
        <w:rPr>
          <w:rFonts w:ascii="Times New Roman" w:hAnsi="Times New Roman"/>
        </w:rPr>
        <w:t>r realizados de forma parcelada, conforme a necessidade.</w:t>
      </w:r>
    </w:p>
    <w:p w:rsidR="00D52126" w:rsidRDefault="00D52126" w:rsidP="00495263">
      <w:pPr>
        <w:rPr>
          <w:rFonts w:ascii="Times New Roman" w:hAnsi="Times New Roman"/>
        </w:rPr>
      </w:pPr>
    </w:p>
    <w:p w:rsidR="00174CC5" w:rsidRDefault="00174CC5" w:rsidP="00495263">
      <w:pPr>
        <w:rPr>
          <w:rFonts w:ascii="Times New Roman" w:hAnsi="Times New Roman"/>
        </w:rPr>
      </w:pPr>
    </w:p>
    <w:p w:rsidR="00B70375" w:rsidRPr="008B09DB" w:rsidRDefault="00B70375" w:rsidP="00B70375">
      <w:pPr>
        <w:pStyle w:val="Textbody"/>
        <w:spacing w:after="0"/>
        <w:ind w:firstLine="708"/>
        <w:jc w:val="both"/>
        <w:rPr>
          <w:rFonts w:eastAsia="Calibri" w:cs="Times New Roman"/>
          <w:b/>
          <w:bCs/>
        </w:rPr>
      </w:pPr>
      <w:r w:rsidRPr="008B09DB">
        <w:rPr>
          <w:rFonts w:eastAsia="Calibri" w:cs="Times New Roman"/>
          <w:b/>
          <w:bCs/>
        </w:rPr>
        <w:t xml:space="preserve">5.4. Classificação e indicação orçamentária </w:t>
      </w:r>
    </w:p>
    <w:p w:rsidR="00B70375" w:rsidRPr="008B09DB" w:rsidRDefault="00B70375" w:rsidP="00B70375">
      <w:pPr>
        <w:rPr>
          <w:rFonts w:ascii="Times New Roman" w:hAnsi="Times New Roman"/>
        </w:rPr>
      </w:pPr>
    </w:p>
    <w:p w:rsidR="00B70375" w:rsidRPr="008B09DB" w:rsidRDefault="00B70375" w:rsidP="00B70375">
      <w:pPr>
        <w:rPr>
          <w:rFonts w:ascii="Times New Roman" w:hAnsi="Times New Roman"/>
        </w:rPr>
      </w:pPr>
      <w:r w:rsidRPr="008B09DB">
        <w:rPr>
          <w:rFonts w:ascii="Times New Roman" w:hAnsi="Times New Roman"/>
        </w:rPr>
        <w:t xml:space="preserve">Por se tratar de </w:t>
      </w:r>
      <w:r w:rsidR="003419AC" w:rsidRPr="008B09DB">
        <w:rPr>
          <w:rFonts w:ascii="Times New Roman" w:hAnsi="Times New Roman"/>
        </w:rPr>
        <w:t>Sistema de Registro de Preços (</w:t>
      </w:r>
      <w:r w:rsidRPr="008B09DB">
        <w:rPr>
          <w:rFonts w:ascii="Times New Roman" w:hAnsi="Times New Roman"/>
        </w:rPr>
        <w:t>SRP</w:t>
      </w:r>
      <w:r w:rsidR="003419AC" w:rsidRPr="008B09DB">
        <w:rPr>
          <w:rFonts w:ascii="Times New Roman" w:hAnsi="Times New Roman"/>
        </w:rPr>
        <w:t>)</w:t>
      </w:r>
      <w:r w:rsidRPr="008B09DB">
        <w:rPr>
          <w:rFonts w:ascii="Times New Roman" w:hAnsi="Times New Roman"/>
        </w:rPr>
        <w:t xml:space="preserve"> não é necessária à indicação da Fonte de Recurso para o processo licitatório, somente para a contratação e fornecimento. No enta</w:t>
      </w:r>
      <w:r w:rsidR="003419AC" w:rsidRPr="008B09DB">
        <w:rPr>
          <w:rFonts w:ascii="Times New Roman" w:hAnsi="Times New Roman"/>
        </w:rPr>
        <w:t xml:space="preserve">nto, </w:t>
      </w:r>
      <w:r w:rsidR="00F54499">
        <w:rPr>
          <w:rFonts w:ascii="Times New Roman" w:hAnsi="Times New Roman"/>
        </w:rPr>
        <w:t>a empresa recebe recurso orçamentário suplementar oriundo de emendas parlamentares</w:t>
      </w:r>
      <w:r w:rsidR="002C3949" w:rsidRPr="008B09DB">
        <w:rPr>
          <w:rFonts w:ascii="Times New Roman" w:hAnsi="Times New Roman"/>
        </w:rPr>
        <w:t xml:space="preserve"> – </w:t>
      </w:r>
      <w:r w:rsidR="00F54499">
        <w:rPr>
          <w:rFonts w:ascii="Times New Roman" w:hAnsi="Times New Roman"/>
        </w:rPr>
        <w:t>OGU</w:t>
      </w:r>
      <w:r w:rsidR="00DF0D17">
        <w:rPr>
          <w:rFonts w:ascii="Times New Roman" w:hAnsi="Times New Roman"/>
        </w:rPr>
        <w:t xml:space="preserve"> </w:t>
      </w:r>
      <w:r w:rsidR="002C3949" w:rsidRPr="008B09DB">
        <w:rPr>
          <w:rFonts w:ascii="Times New Roman" w:hAnsi="Times New Roman"/>
        </w:rPr>
        <w:t xml:space="preserve">de </w:t>
      </w:r>
      <w:r w:rsidR="008B09DB" w:rsidRPr="008B09DB">
        <w:rPr>
          <w:rFonts w:ascii="Times New Roman" w:hAnsi="Times New Roman"/>
        </w:rPr>
        <w:t>2023</w:t>
      </w:r>
      <w:r w:rsidRPr="008B09DB">
        <w:rPr>
          <w:rFonts w:ascii="Times New Roman" w:hAnsi="Times New Roman"/>
        </w:rPr>
        <w:t xml:space="preserve"> foi alocado o seguinte orçamento </w:t>
      </w:r>
      <w:r w:rsidR="00F54499">
        <w:rPr>
          <w:rFonts w:ascii="Times New Roman" w:hAnsi="Times New Roman"/>
        </w:rPr>
        <w:t xml:space="preserve">para o Estado da Bahia visando </w:t>
      </w:r>
      <w:proofErr w:type="gramStart"/>
      <w:r w:rsidRPr="008B09DB">
        <w:rPr>
          <w:rFonts w:ascii="Times New Roman" w:hAnsi="Times New Roman"/>
        </w:rPr>
        <w:t>a</w:t>
      </w:r>
      <w:proofErr w:type="gramEnd"/>
      <w:r w:rsidRPr="008B09DB">
        <w:rPr>
          <w:rFonts w:ascii="Times New Roman" w:hAnsi="Times New Roman"/>
        </w:rPr>
        <w:t xml:space="preserve"> aquisição de equipamentos e máquinas:</w:t>
      </w:r>
    </w:p>
    <w:p w:rsidR="003419AC" w:rsidRPr="00721A2F" w:rsidRDefault="003419AC" w:rsidP="00B70375">
      <w:pPr>
        <w:rPr>
          <w:rFonts w:ascii="Times New Roman" w:hAnsi="Times New Roman"/>
          <w:color w:val="FF0000"/>
        </w:rPr>
      </w:pPr>
    </w:p>
    <w:p w:rsidR="003419AC" w:rsidRDefault="00F54499" w:rsidP="00642957">
      <w:pPr>
        <w:pStyle w:val="PargrafodaLista"/>
        <w:numPr>
          <w:ilvl w:val="0"/>
          <w:numId w:val="7"/>
        </w:numPr>
        <w:spacing w:before="120" w:after="120"/>
        <w:rPr>
          <w:rFonts w:ascii="Times New Roman" w:hAnsi="Times New Roman"/>
          <w:b/>
        </w:rPr>
      </w:pPr>
      <w:r w:rsidRPr="00F54499">
        <w:rPr>
          <w:rFonts w:ascii="Times New Roman" w:hAnsi="Times New Roman"/>
          <w:b/>
        </w:rPr>
        <w:t>20.608.2217.</w:t>
      </w:r>
      <w:r w:rsidR="009B5152" w:rsidRPr="00F54499">
        <w:rPr>
          <w:rFonts w:ascii="Times New Roman" w:hAnsi="Times New Roman"/>
          <w:b/>
        </w:rPr>
        <w:t>00</w:t>
      </w:r>
      <w:proofErr w:type="gramStart"/>
      <w:r w:rsidR="009B5152" w:rsidRPr="00F54499">
        <w:rPr>
          <w:rFonts w:ascii="Times New Roman" w:hAnsi="Times New Roman"/>
          <w:b/>
        </w:rPr>
        <w:t>SX</w:t>
      </w:r>
      <w:r w:rsidRPr="00F54499">
        <w:rPr>
          <w:rFonts w:ascii="Times New Roman" w:hAnsi="Times New Roman"/>
          <w:b/>
        </w:rPr>
        <w:t>.</w:t>
      </w:r>
      <w:proofErr w:type="gramEnd"/>
      <w:r w:rsidRPr="00F54499">
        <w:rPr>
          <w:rFonts w:ascii="Times New Roman" w:hAnsi="Times New Roman"/>
          <w:b/>
        </w:rPr>
        <w:t>0029</w:t>
      </w:r>
      <w:r w:rsidR="003419AC" w:rsidRPr="00F54499">
        <w:rPr>
          <w:rFonts w:ascii="Times New Roman" w:hAnsi="Times New Roman"/>
          <w:b/>
        </w:rPr>
        <w:t xml:space="preserve"> – Apoio a Projetos de Desenvolvimento Su</w:t>
      </w:r>
      <w:r w:rsidRPr="00F54499">
        <w:rPr>
          <w:rFonts w:ascii="Times New Roman" w:hAnsi="Times New Roman"/>
          <w:b/>
        </w:rPr>
        <w:t>stentável Local Integrado</w:t>
      </w:r>
      <w:r w:rsidR="003419AC" w:rsidRPr="00F54499">
        <w:rPr>
          <w:rFonts w:ascii="Times New Roman" w:hAnsi="Times New Roman"/>
          <w:b/>
        </w:rPr>
        <w:t xml:space="preserve"> - No estado da Bahia.</w:t>
      </w:r>
    </w:p>
    <w:p w:rsidR="00EF0DCD" w:rsidRDefault="00EF0DCD" w:rsidP="00EF0DCD">
      <w:pPr>
        <w:pStyle w:val="PargrafodaLista"/>
        <w:spacing w:before="120" w:after="120"/>
        <w:rPr>
          <w:rFonts w:ascii="Times New Roman" w:hAnsi="Times New Roman"/>
          <w:b/>
        </w:rPr>
      </w:pPr>
    </w:p>
    <w:p w:rsidR="00F54499" w:rsidRDefault="00F54499" w:rsidP="00642957">
      <w:pPr>
        <w:pStyle w:val="PargrafodaLista"/>
        <w:numPr>
          <w:ilvl w:val="0"/>
          <w:numId w:val="7"/>
        </w:numPr>
        <w:spacing w:before="120" w:after="120"/>
        <w:rPr>
          <w:rFonts w:ascii="Times New Roman" w:hAnsi="Times New Roman"/>
          <w:b/>
        </w:rPr>
      </w:pPr>
      <w:r w:rsidRPr="00F54499">
        <w:rPr>
          <w:rFonts w:ascii="Times New Roman" w:hAnsi="Times New Roman"/>
          <w:b/>
        </w:rPr>
        <w:lastRenderedPageBreak/>
        <w:t>20.608.2217.00</w:t>
      </w:r>
      <w:proofErr w:type="gramStart"/>
      <w:r w:rsidRPr="00F54499">
        <w:rPr>
          <w:rFonts w:ascii="Times New Roman" w:hAnsi="Times New Roman"/>
          <w:b/>
        </w:rPr>
        <w:t>SX.</w:t>
      </w:r>
      <w:proofErr w:type="gramEnd"/>
      <w:r w:rsidRPr="00F54499">
        <w:rPr>
          <w:rFonts w:ascii="Times New Roman" w:hAnsi="Times New Roman"/>
          <w:b/>
        </w:rPr>
        <w:t>7012 – Apoio a Projetos de Desenvolvimento Sustentável Local Integrado - aquisição de máquinas e equipamentos - No estado da Bahia.</w:t>
      </w:r>
    </w:p>
    <w:p w:rsidR="00EF0DCD" w:rsidRPr="00F54499" w:rsidRDefault="00EF0DCD" w:rsidP="00EF0DCD">
      <w:pPr>
        <w:pStyle w:val="PargrafodaLista"/>
        <w:spacing w:before="120" w:after="120"/>
        <w:rPr>
          <w:rFonts w:ascii="Times New Roman" w:hAnsi="Times New Roman"/>
          <w:b/>
        </w:rPr>
      </w:pPr>
    </w:p>
    <w:p w:rsidR="003419AC" w:rsidRPr="004E0FBF" w:rsidRDefault="003419AC" w:rsidP="00642957">
      <w:pPr>
        <w:pStyle w:val="PargrafodaLista"/>
        <w:numPr>
          <w:ilvl w:val="0"/>
          <w:numId w:val="7"/>
        </w:numPr>
        <w:spacing w:before="120" w:after="120"/>
        <w:rPr>
          <w:rFonts w:ascii="Times New Roman" w:hAnsi="Times New Roman"/>
          <w:b/>
        </w:rPr>
      </w:pPr>
      <w:bookmarkStart w:id="0" w:name="_GoBack"/>
      <w:bookmarkEnd w:id="0"/>
      <w:r w:rsidRPr="004E0FBF">
        <w:rPr>
          <w:rFonts w:ascii="Times New Roman" w:hAnsi="Times New Roman"/>
          <w:b/>
        </w:rPr>
        <w:t xml:space="preserve">Valor total: R$ </w:t>
      </w:r>
      <w:r w:rsidR="000F37AD" w:rsidRPr="004E0FBF">
        <w:rPr>
          <w:rFonts w:ascii="Times New Roman" w:hAnsi="Times New Roman"/>
          <w:b/>
        </w:rPr>
        <w:t>79.905.117,50</w:t>
      </w:r>
      <w:r w:rsidR="0006455E" w:rsidRPr="004E0FBF">
        <w:rPr>
          <w:rFonts w:ascii="Times New Roman" w:hAnsi="Times New Roman"/>
          <w:b/>
        </w:rPr>
        <w:t xml:space="preserve"> (</w:t>
      </w:r>
      <w:r w:rsidR="000F37AD" w:rsidRPr="004E0FBF">
        <w:rPr>
          <w:rFonts w:ascii="Times New Roman" w:hAnsi="Times New Roman"/>
          <w:b/>
        </w:rPr>
        <w:t>setenta e nove</w:t>
      </w:r>
      <w:r w:rsidR="0006455E" w:rsidRPr="004E0FBF">
        <w:rPr>
          <w:rFonts w:ascii="Times New Roman" w:hAnsi="Times New Roman"/>
          <w:b/>
        </w:rPr>
        <w:t xml:space="preserve"> milhões, </w:t>
      </w:r>
      <w:r w:rsidR="000F37AD" w:rsidRPr="004E0FBF">
        <w:rPr>
          <w:rFonts w:ascii="Times New Roman" w:hAnsi="Times New Roman"/>
          <w:b/>
        </w:rPr>
        <w:t>novecentos e cinco mil</w:t>
      </w:r>
      <w:r w:rsidR="0006455E" w:rsidRPr="004E0FBF">
        <w:rPr>
          <w:rFonts w:ascii="Times New Roman" w:hAnsi="Times New Roman"/>
          <w:b/>
        </w:rPr>
        <w:t xml:space="preserve">, </w:t>
      </w:r>
      <w:r w:rsidR="000F37AD" w:rsidRPr="004E0FBF">
        <w:rPr>
          <w:rFonts w:ascii="Times New Roman" w:hAnsi="Times New Roman"/>
          <w:b/>
        </w:rPr>
        <w:t xml:space="preserve">cento e dezessete </w:t>
      </w:r>
      <w:r w:rsidR="004E0FBF" w:rsidRPr="004E0FBF">
        <w:rPr>
          <w:rFonts w:ascii="Times New Roman" w:hAnsi="Times New Roman"/>
          <w:b/>
        </w:rPr>
        <w:t xml:space="preserve">reais </w:t>
      </w:r>
      <w:r w:rsidR="0006455E" w:rsidRPr="004E0FBF">
        <w:rPr>
          <w:rFonts w:ascii="Times New Roman" w:hAnsi="Times New Roman"/>
          <w:b/>
        </w:rPr>
        <w:t xml:space="preserve">e </w:t>
      </w:r>
      <w:r w:rsidR="004E0FBF" w:rsidRPr="004E0FBF">
        <w:rPr>
          <w:rFonts w:ascii="Times New Roman" w:hAnsi="Times New Roman"/>
          <w:b/>
        </w:rPr>
        <w:t>cinquenta</w:t>
      </w:r>
      <w:r w:rsidR="0006455E" w:rsidRPr="004E0FBF">
        <w:rPr>
          <w:rFonts w:ascii="Times New Roman" w:hAnsi="Times New Roman"/>
          <w:b/>
        </w:rPr>
        <w:t xml:space="preserve"> centavos)</w:t>
      </w:r>
      <w:r w:rsidRPr="004E0FBF">
        <w:rPr>
          <w:rFonts w:ascii="Times New Roman" w:hAnsi="Times New Roman"/>
          <w:b/>
        </w:rPr>
        <w:t>.</w:t>
      </w:r>
    </w:p>
    <w:p w:rsidR="008D7021" w:rsidRPr="00FA5FDB" w:rsidRDefault="008D7021" w:rsidP="00D04550">
      <w:pPr>
        <w:rPr>
          <w:rFonts w:ascii="Times New Roman" w:hAnsi="Times New Roman"/>
          <w:shd w:val="clear" w:color="auto" w:fill="FFFFFF"/>
        </w:rPr>
      </w:pPr>
    </w:p>
    <w:p w:rsidR="008D7021" w:rsidRPr="008B09DB" w:rsidRDefault="008D7021" w:rsidP="00D04550">
      <w:pPr>
        <w:rPr>
          <w:rFonts w:ascii="Times New Roman" w:hAnsi="Times New Roman"/>
          <w:shd w:val="clear" w:color="auto" w:fill="FFFFFF"/>
        </w:rPr>
      </w:pPr>
    </w:p>
    <w:p w:rsidR="003419AC" w:rsidRPr="008B09DB" w:rsidRDefault="003419AC" w:rsidP="003419AC">
      <w:pPr>
        <w:pStyle w:val="Textbody"/>
        <w:spacing w:after="0"/>
        <w:jc w:val="both"/>
        <w:rPr>
          <w:rFonts w:eastAsia="Calibri" w:cs="Times New Roman"/>
          <w:b/>
          <w:bCs/>
        </w:rPr>
      </w:pPr>
      <w:r w:rsidRPr="008B09DB">
        <w:rPr>
          <w:rFonts w:eastAsia="Calibri" w:cs="Times New Roman"/>
          <w:b/>
          <w:bCs/>
        </w:rPr>
        <w:t xml:space="preserve">6. </w:t>
      </w:r>
      <w:r w:rsidR="00A24DA6" w:rsidRPr="008B09DB">
        <w:rPr>
          <w:rFonts w:eastAsia="Calibri" w:cs="Times New Roman"/>
          <w:b/>
          <w:bCs/>
        </w:rPr>
        <w:t>CONSIDERAÇÕES FINAI</w:t>
      </w:r>
      <w:r w:rsidRPr="008B09DB">
        <w:rPr>
          <w:rFonts w:eastAsia="Calibri" w:cs="Times New Roman"/>
          <w:b/>
          <w:bCs/>
        </w:rPr>
        <w:t xml:space="preserve">S </w:t>
      </w:r>
    </w:p>
    <w:p w:rsidR="003419AC" w:rsidRPr="008B09DB" w:rsidRDefault="003419AC" w:rsidP="003419AC">
      <w:pPr>
        <w:rPr>
          <w:rFonts w:ascii="Times New Roman" w:hAnsi="Times New Roman"/>
          <w:bCs/>
        </w:rPr>
      </w:pPr>
    </w:p>
    <w:p w:rsidR="003419AC" w:rsidRPr="008B09DB" w:rsidRDefault="003419AC" w:rsidP="003419AC">
      <w:pPr>
        <w:rPr>
          <w:rFonts w:ascii="Times New Roman" w:hAnsi="Times New Roman"/>
        </w:rPr>
      </w:pPr>
      <w:r w:rsidRPr="008B09DB">
        <w:rPr>
          <w:rFonts w:ascii="Times New Roman" w:hAnsi="Times New Roman"/>
        </w:rPr>
        <w:t xml:space="preserve">Considerando que a missão da </w:t>
      </w:r>
      <w:r w:rsidR="007B7BD6" w:rsidRPr="008B09DB">
        <w:rPr>
          <w:rFonts w:ascii="Times New Roman" w:hAnsi="Times New Roman"/>
        </w:rPr>
        <w:t>Codevasf</w:t>
      </w:r>
      <w:r w:rsidRPr="008B09DB">
        <w:rPr>
          <w:rFonts w:ascii="Times New Roman" w:hAnsi="Times New Roman"/>
        </w:rPr>
        <w:t xml:space="preserve"> é desenvolver bacias hidrográficas de forma integrada e sustentável, contribuindo para a redução das desigualdades regionais, entende-se necessária a realização do PE/SRP</w:t>
      </w:r>
      <w:r w:rsidR="0006455E" w:rsidRPr="008B09DB">
        <w:rPr>
          <w:rFonts w:ascii="Times New Roman" w:hAnsi="Times New Roman"/>
        </w:rPr>
        <w:t xml:space="preserve"> pela 2ª Superintendência Regional da Companhia</w:t>
      </w:r>
      <w:r w:rsidRPr="008B09DB">
        <w:rPr>
          <w:rFonts w:ascii="Times New Roman" w:hAnsi="Times New Roman"/>
        </w:rPr>
        <w:t xml:space="preserve">, visando à aquisição </w:t>
      </w:r>
      <w:r w:rsidR="008B09DB" w:rsidRPr="008B09DB">
        <w:rPr>
          <w:rFonts w:ascii="Times New Roman" w:hAnsi="Times New Roman"/>
        </w:rPr>
        <w:t>de ordenhadeiras portáteis e tanques de resfriamento de leite</w:t>
      </w:r>
      <w:r w:rsidR="006D5259" w:rsidRPr="008B09DB">
        <w:rPr>
          <w:rFonts w:ascii="Times New Roman" w:hAnsi="Times New Roman"/>
        </w:rPr>
        <w:t>,</w:t>
      </w:r>
      <w:r w:rsidR="00EB31F4" w:rsidRPr="008B09DB">
        <w:rPr>
          <w:rFonts w:ascii="Times New Roman" w:hAnsi="Times New Roman"/>
        </w:rPr>
        <w:t xml:space="preserve"> destinado</w:t>
      </w:r>
      <w:r w:rsidRPr="008B09DB">
        <w:rPr>
          <w:rFonts w:ascii="Times New Roman" w:hAnsi="Times New Roman"/>
        </w:rPr>
        <w:t xml:space="preserve">s a atender demandas de políticas públicas nos </w:t>
      </w:r>
      <w:r w:rsidR="008B09DB" w:rsidRPr="008B09DB">
        <w:rPr>
          <w:rFonts w:ascii="Times New Roman" w:hAnsi="Times New Roman"/>
        </w:rPr>
        <w:t>setores produtivos, melhorando</w:t>
      </w:r>
      <w:r w:rsidRPr="008B09DB">
        <w:rPr>
          <w:rFonts w:ascii="Times New Roman" w:hAnsi="Times New Roman"/>
        </w:rPr>
        <w:t xml:space="preserve"> as condições de </w:t>
      </w:r>
      <w:r w:rsidR="0006455E" w:rsidRPr="008B09DB">
        <w:rPr>
          <w:rFonts w:ascii="Times New Roman" w:hAnsi="Times New Roman"/>
        </w:rPr>
        <w:t xml:space="preserve">incentivo à </w:t>
      </w:r>
      <w:proofErr w:type="gramStart"/>
      <w:r w:rsidR="008B09DB" w:rsidRPr="008B09DB">
        <w:rPr>
          <w:rFonts w:ascii="Times New Roman" w:hAnsi="Times New Roman"/>
        </w:rPr>
        <w:t xml:space="preserve">bovinocultura de leite </w:t>
      </w:r>
      <w:r w:rsidR="006D5259" w:rsidRPr="008B09DB">
        <w:rPr>
          <w:rFonts w:ascii="Times New Roman" w:hAnsi="Times New Roman"/>
        </w:rPr>
        <w:t>por</w:t>
      </w:r>
      <w:r w:rsidRPr="008B09DB">
        <w:rPr>
          <w:rFonts w:ascii="Times New Roman" w:hAnsi="Times New Roman"/>
        </w:rPr>
        <w:t xml:space="preserve"> associações</w:t>
      </w:r>
      <w:r w:rsidR="006D5259" w:rsidRPr="008B09DB">
        <w:rPr>
          <w:rFonts w:ascii="Times New Roman" w:hAnsi="Times New Roman"/>
        </w:rPr>
        <w:t>,</w:t>
      </w:r>
      <w:r w:rsidR="00EB31F4" w:rsidRPr="008B09DB">
        <w:rPr>
          <w:rFonts w:ascii="Times New Roman" w:hAnsi="Times New Roman"/>
        </w:rPr>
        <w:t xml:space="preserve"> cooperativas</w:t>
      </w:r>
      <w:proofErr w:type="gramEnd"/>
      <w:r w:rsidR="00642957">
        <w:rPr>
          <w:rFonts w:ascii="Times New Roman" w:hAnsi="Times New Roman"/>
        </w:rPr>
        <w:t xml:space="preserve"> </w:t>
      </w:r>
      <w:r w:rsidR="0006455E" w:rsidRPr="008B09DB">
        <w:rPr>
          <w:rFonts w:ascii="Times New Roman" w:hAnsi="Times New Roman"/>
        </w:rPr>
        <w:t>ou mesmo</w:t>
      </w:r>
      <w:r w:rsidR="006D5259" w:rsidRPr="008B09DB">
        <w:rPr>
          <w:rFonts w:ascii="Times New Roman" w:hAnsi="Times New Roman"/>
        </w:rPr>
        <w:t xml:space="preserve"> prefeitura</w:t>
      </w:r>
      <w:r w:rsidR="0006455E" w:rsidRPr="008B09DB">
        <w:rPr>
          <w:rFonts w:ascii="Times New Roman" w:hAnsi="Times New Roman"/>
        </w:rPr>
        <w:t>s</w:t>
      </w:r>
      <w:r w:rsidR="006D5259" w:rsidRPr="008B09DB">
        <w:rPr>
          <w:rFonts w:ascii="Times New Roman" w:hAnsi="Times New Roman"/>
        </w:rPr>
        <w:t xml:space="preserve"> municipais na</w:t>
      </w:r>
      <w:r w:rsidRPr="008B09DB">
        <w:rPr>
          <w:rFonts w:ascii="Times New Roman" w:hAnsi="Times New Roman"/>
        </w:rPr>
        <w:t xml:space="preserve"> área de atuação da 2ª Superintendência Regional da </w:t>
      </w:r>
      <w:r w:rsidR="007B7BD6" w:rsidRPr="008B09DB">
        <w:rPr>
          <w:rFonts w:ascii="Times New Roman" w:hAnsi="Times New Roman"/>
        </w:rPr>
        <w:t>Codevasf</w:t>
      </w:r>
      <w:r w:rsidRPr="008B09DB">
        <w:rPr>
          <w:rFonts w:ascii="Times New Roman" w:hAnsi="Times New Roman"/>
        </w:rPr>
        <w:t>.</w:t>
      </w:r>
    </w:p>
    <w:p w:rsidR="00E6486E" w:rsidRPr="00876309" w:rsidRDefault="00E6486E" w:rsidP="00D04550">
      <w:pPr>
        <w:rPr>
          <w:rFonts w:ascii="Times New Roman" w:hAnsi="Times New Roman"/>
          <w:shd w:val="clear" w:color="auto" w:fill="FFFFFF"/>
        </w:rPr>
      </w:pPr>
    </w:p>
    <w:p w:rsidR="00D52126" w:rsidRDefault="00D52126" w:rsidP="00D04550">
      <w:pPr>
        <w:rPr>
          <w:rFonts w:ascii="Times New Roman" w:hAnsi="Times New Roman"/>
          <w:shd w:val="clear" w:color="auto" w:fill="FFFFFF"/>
        </w:rPr>
      </w:pPr>
    </w:p>
    <w:p w:rsidR="00EF0DCD" w:rsidRPr="00876309" w:rsidRDefault="00EF0DCD" w:rsidP="00D04550">
      <w:pPr>
        <w:rPr>
          <w:rFonts w:ascii="Times New Roman" w:hAnsi="Times New Roman"/>
          <w:shd w:val="clear" w:color="auto" w:fill="FFFFFF"/>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851"/>
        <w:gridCol w:w="4284"/>
      </w:tblGrid>
      <w:tr w:rsidR="00E6486E" w:rsidRPr="00876309" w:rsidTr="00E6486E">
        <w:tc>
          <w:tcPr>
            <w:tcW w:w="4077" w:type="dxa"/>
          </w:tcPr>
          <w:p w:rsidR="00E6486E" w:rsidRPr="00876309" w:rsidRDefault="00E6486E" w:rsidP="00D04550">
            <w:pPr>
              <w:rPr>
                <w:rFonts w:ascii="Times New Roman" w:hAnsi="Times New Roman"/>
                <w:b/>
                <w:shd w:val="clear" w:color="auto" w:fill="FFFFFF"/>
              </w:rPr>
            </w:pPr>
            <w:r w:rsidRPr="00876309">
              <w:rPr>
                <w:rFonts w:ascii="Times New Roman" w:hAnsi="Times New Roman"/>
                <w:b/>
                <w:shd w:val="clear" w:color="auto" w:fill="FFFFFF"/>
              </w:rPr>
              <w:t>Responsável pelas Informações:</w:t>
            </w:r>
          </w:p>
          <w:p w:rsidR="00E6486E" w:rsidRPr="00876309" w:rsidRDefault="00E6486E" w:rsidP="00D04550">
            <w:pPr>
              <w:rPr>
                <w:rFonts w:ascii="Times New Roman" w:hAnsi="Times New Roman"/>
                <w:shd w:val="clear" w:color="auto" w:fill="FFFFFF"/>
              </w:rPr>
            </w:pPr>
          </w:p>
          <w:p w:rsidR="006D5259" w:rsidRDefault="006D5259" w:rsidP="00D04550">
            <w:pPr>
              <w:rPr>
                <w:rFonts w:ascii="Times New Roman" w:hAnsi="Times New Roman"/>
                <w:shd w:val="clear" w:color="auto" w:fill="FFFFFF"/>
              </w:rPr>
            </w:pPr>
          </w:p>
          <w:p w:rsidR="00EF0DCD" w:rsidRDefault="00EF0DCD" w:rsidP="00D04550">
            <w:pPr>
              <w:rPr>
                <w:rFonts w:ascii="Times New Roman" w:hAnsi="Times New Roman"/>
                <w:shd w:val="clear" w:color="auto" w:fill="FFFFFF"/>
              </w:rPr>
            </w:pPr>
          </w:p>
          <w:p w:rsidR="00642957" w:rsidRPr="00876309" w:rsidRDefault="00642957" w:rsidP="00D04550">
            <w:pPr>
              <w:rPr>
                <w:rFonts w:ascii="Times New Roman" w:hAnsi="Times New Roman"/>
                <w:shd w:val="clear" w:color="auto" w:fill="FFFFFF"/>
              </w:rPr>
            </w:pPr>
          </w:p>
        </w:tc>
        <w:tc>
          <w:tcPr>
            <w:tcW w:w="851" w:type="dxa"/>
          </w:tcPr>
          <w:p w:rsidR="00E6486E" w:rsidRPr="00876309" w:rsidRDefault="00E6486E" w:rsidP="00D04550">
            <w:pPr>
              <w:rPr>
                <w:rFonts w:ascii="Times New Roman" w:hAnsi="Times New Roman"/>
                <w:shd w:val="clear" w:color="auto" w:fill="FFFFFF"/>
              </w:rPr>
            </w:pPr>
          </w:p>
        </w:tc>
        <w:tc>
          <w:tcPr>
            <w:tcW w:w="4284" w:type="dxa"/>
          </w:tcPr>
          <w:p w:rsidR="00E6486E" w:rsidRPr="00876309" w:rsidRDefault="00E6486E" w:rsidP="00D04550">
            <w:pPr>
              <w:rPr>
                <w:rFonts w:ascii="Times New Roman" w:hAnsi="Times New Roman"/>
                <w:b/>
                <w:shd w:val="clear" w:color="auto" w:fill="FFFFFF"/>
              </w:rPr>
            </w:pPr>
            <w:r w:rsidRPr="00876309">
              <w:rPr>
                <w:rFonts w:ascii="Times New Roman" w:hAnsi="Times New Roman"/>
                <w:b/>
                <w:shd w:val="clear" w:color="auto" w:fill="FFFFFF"/>
              </w:rPr>
              <w:t>De acordo:</w:t>
            </w:r>
          </w:p>
        </w:tc>
      </w:tr>
      <w:tr w:rsidR="00E6486E" w:rsidRPr="00876309" w:rsidTr="00E6486E">
        <w:tc>
          <w:tcPr>
            <w:tcW w:w="4077" w:type="dxa"/>
          </w:tcPr>
          <w:p w:rsidR="00E6486E" w:rsidRPr="00876309" w:rsidRDefault="00E6486E" w:rsidP="00E6486E">
            <w:pPr>
              <w:jc w:val="center"/>
              <w:rPr>
                <w:rFonts w:ascii="Times New Roman" w:eastAsia="Calibri" w:hAnsi="Times New Roman"/>
                <w:b/>
                <w:bCs/>
                <w:color w:val="FF0000"/>
                <w:sz w:val="16"/>
                <w:szCs w:val="16"/>
              </w:rPr>
            </w:pPr>
            <w:r w:rsidRPr="00876309">
              <w:rPr>
                <w:rFonts w:ascii="Times New Roman" w:eastAsia="Calibri" w:hAnsi="Times New Roman"/>
                <w:b/>
                <w:bCs/>
                <w:color w:val="FF0000"/>
                <w:sz w:val="16"/>
                <w:szCs w:val="16"/>
              </w:rPr>
              <w:t>DOCUMENTO ASSINADO ELETRONICAMENTE</w:t>
            </w:r>
          </w:p>
          <w:p w:rsidR="00E6486E" w:rsidRPr="00876309" w:rsidRDefault="00E6486E" w:rsidP="00E6486E">
            <w:pPr>
              <w:jc w:val="center"/>
              <w:rPr>
                <w:rFonts w:ascii="Times New Roman" w:eastAsia="Calibri" w:hAnsi="Times New Roman"/>
                <w:b/>
                <w:bCs/>
              </w:rPr>
            </w:pPr>
            <w:r w:rsidRPr="00876309">
              <w:rPr>
                <w:rFonts w:ascii="Times New Roman" w:eastAsia="Calibri" w:hAnsi="Times New Roman"/>
                <w:b/>
                <w:bCs/>
              </w:rPr>
              <w:t>Manoel Nicolau de Souza Neto</w:t>
            </w:r>
          </w:p>
          <w:p w:rsidR="00E6486E" w:rsidRPr="00876309" w:rsidRDefault="00E6486E" w:rsidP="00E6486E">
            <w:pPr>
              <w:jc w:val="center"/>
              <w:rPr>
                <w:rFonts w:ascii="Times New Roman" w:eastAsia="Calibri" w:hAnsi="Times New Roman"/>
                <w:bCs/>
                <w:sz w:val="16"/>
                <w:szCs w:val="16"/>
              </w:rPr>
            </w:pPr>
            <w:proofErr w:type="spellStart"/>
            <w:r w:rsidRPr="00876309">
              <w:rPr>
                <w:rFonts w:ascii="Times New Roman" w:eastAsia="Calibri" w:hAnsi="Times New Roman"/>
                <w:bCs/>
                <w:sz w:val="16"/>
                <w:szCs w:val="16"/>
              </w:rPr>
              <w:t>Engº</w:t>
            </w:r>
            <w:proofErr w:type="spellEnd"/>
            <w:r w:rsidRPr="00876309">
              <w:rPr>
                <w:rFonts w:ascii="Times New Roman" w:eastAsia="Calibri" w:hAnsi="Times New Roman"/>
                <w:bCs/>
                <w:sz w:val="16"/>
                <w:szCs w:val="16"/>
              </w:rPr>
              <w:t xml:space="preserve"> Agrônomo – CREA BA nº 43.770/D</w:t>
            </w:r>
          </w:p>
          <w:p w:rsidR="00E6486E" w:rsidRPr="00876309" w:rsidRDefault="007B7BD6" w:rsidP="00E6486E">
            <w:pPr>
              <w:jc w:val="center"/>
              <w:rPr>
                <w:rFonts w:ascii="Times New Roman" w:eastAsia="Calibri" w:hAnsi="Times New Roman"/>
                <w:bCs/>
                <w:sz w:val="18"/>
                <w:szCs w:val="18"/>
              </w:rPr>
            </w:pPr>
            <w:r w:rsidRPr="00876309">
              <w:rPr>
                <w:rFonts w:ascii="Times New Roman" w:eastAsia="Calibri" w:hAnsi="Times New Roman"/>
                <w:bCs/>
                <w:sz w:val="18"/>
                <w:szCs w:val="18"/>
              </w:rPr>
              <w:t>CODEVASF</w:t>
            </w:r>
            <w:r w:rsidR="00E6486E" w:rsidRPr="00876309">
              <w:rPr>
                <w:rFonts w:ascii="Times New Roman" w:eastAsia="Calibri" w:hAnsi="Times New Roman"/>
                <w:bCs/>
                <w:sz w:val="18"/>
                <w:szCs w:val="18"/>
              </w:rPr>
              <w:t xml:space="preserve"> – Chefe da 2ª/GRR/UDT</w:t>
            </w:r>
          </w:p>
        </w:tc>
        <w:tc>
          <w:tcPr>
            <w:tcW w:w="851" w:type="dxa"/>
          </w:tcPr>
          <w:p w:rsidR="00E6486E" w:rsidRPr="00876309" w:rsidRDefault="00E6486E" w:rsidP="00D04550">
            <w:pPr>
              <w:rPr>
                <w:rFonts w:ascii="Times New Roman" w:hAnsi="Times New Roman"/>
                <w:shd w:val="clear" w:color="auto" w:fill="FFFFFF"/>
              </w:rPr>
            </w:pPr>
          </w:p>
        </w:tc>
        <w:tc>
          <w:tcPr>
            <w:tcW w:w="4284" w:type="dxa"/>
          </w:tcPr>
          <w:p w:rsidR="00E6486E" w:rsidRPr="00876309" w:rsidRDefault="00E6486E" w:rsidP="00E6486E">
            <w:pPr>
              <w:jc w:val="center"/>
              <w:rPr>
                <w:rFonts w:ascii="Times New Roman" w:eastAsia="Calibri" w:hAnsi="Times New Roman"/>
                <w:b/>
                <w:bCs/>
                <w:color w:val="FF0000"/>
                <w:sz w:val="16"/>
                <w:szCs w:val="16"/>
              </w:rPr>
            </w:pPr>
            <w:r w:rsidRPr="00876309">
              <w:rPr>
                <w:rFonts w:ascii="Times New Roman" w:eastAsia="Calibri" w:hAnsi="Times New Roman"/>
                <w:b/>
                <w:bCs/>
                <w:color w:val="FF0000"/>
                <w:sz w:val="16"/>
                <w:szCs w:val="16"/>
              </w:rPr>
              <w:t>DOCUMENTO ASSINADO ELETRONICAMENTE</w:t>
            </w:r>
          </w:p>
          <w:p w:rsidR="00E6486E" w:rsidRPr="00876309" w:rsidRDefault="00E6486E" w:rsidP="00E6486E">
            <w:pPr>
              <w:jc w:val="center"/>
              <w:rPr>
                <w:rFonts w:ascii="Times New Roman" w:eastAsia="Calibri" w:hAnsi="Times New Roman"/>
                <w:b/>
                <w:bCs/>
              </w:rPr>
            </w:pPr>
            <w:r w:rsidRPr="00876309">
              <w:rPr>
                <w:rFonts w:ascii="Times New Roman" w:eastAsia="Calibri" w:hAnsi="Times New Roman"/>
                <w:b/>
                <w:bCs/>
              </w:rPr>
              <w:t>Edson Rodrigues Marques Júnior</w:t>
            </w:r>
          </w:p>
          <w:p w:rsidR="00E6486E" w:rsidRPr="00876309" w:rsidRDefault="00E6486E" w:rsidP="000F397F">
            <w:pPr>
              <w:jc w:val="center"/>
              <w:rPr>
                <w:rFonts w:ascii="Times New Roman" w:eastAsia="Calibri" w:hAnsi="Times New Roman"/>
                <w:bCs/>
                <w:sz w:val="16"/>
                <w:szCs w:val="16"/>
              </w:rPr>
            </w:pPr>
            <w:r w:rsidRPr="00876309">
              <w:rPr>
                <w:rFonts w:ascii="Times New Roman" w:eastAsia="Calibri" w:hAnsi="Times New Roman"/>
                <w:bCs/>
                <w:sz w:val="16"/>
                <w:szCs w:val="16"/>
              </w:rPr>
              <w:t xml:space="preserve">Gerente Regional de Revitalização </w:t>
            </w:r>
            <w:r w:rsidR="000F397F" w:rsidRPr="00876309">
              <w:rPr>
                <w:rFonts w:ascii="Times New Roman" w:eastAsia="Calibri" w:hAnsi="Times New Roman"/>
                <w:bCs/>
                <w:sz w:val="16"/>
                <w:szCs w:val="16"/>
              </w:rPr>
              <w:t>de Bacias Hidrográficas</w:t>
            </w:r>
          </w:p>
          <w:p w:rsidR="00E6486E" w:rsidRPr="00876309" w:rsidRDefault="007B7BD6" w:rsidP="00E6486E">
            <w:pPr>
              <w:jc w:val="center"/>
              <w:rPr>
                <w:rFonts w:ascii="Times New Roman" w:hAnsi="Times New Roman"/>
                <w:shd w:val="clear" w:color="auto" w:fill="FFFFFF"/>
              </w:rPr>
            </w:pPr>
            <w:r w:rsidRPr="00876309">
              <w:rPr>
                <w:rFonts w:ascii="Times New Roman" w:eastAsia="Calibri" w:hAnsi="Times New Roman"/>
                <w:bCs/>
                <w:sz w:val="18"/>
                <w:szCs w:val="18"/>
              </w:rPr>
              <w:t>CODEVASF</w:t>
            </w:r>
            <w:r w:rsidR="00E6486E" w:rsidRPr="00876309">
              <w:rPr>
                <w:rFonts w:ascii="Times New Roman" w:eastAsia="Calibri" w:hAnsi="Times New Roman"/>
                <w:bCs/>
                <w:sz w:val="18"/>
                <w:szCs w:val="18"/>
              </w:rPr>
              <w:t xml:space="preserve"> – 2ª/GRR</w:t>
            </w:r>
          </w:p>
        </w:tc>
      </w:tr>
    </w:tbl>
    <w:p w:rsidR="00E6486E" w:rsidRPr="00876309" w:rsidRDefault="00E6486E" w:rsidP="00D04550">
      <w:pPr>
        <w:rPr>
          <w:rFonts w:ascii="Times New Roman" w:hAnsi="Times New Roman"/>
          <w:shd w:val="clear" w:color="auto" w:fill="FFFFFF"/>
        </w:rPr>
      </w:pPr>
    </w:p>
    <w:p w:rsidR="00E6486E" w:rsidRDefault="00E6486E" w:rsidP="00D04550">
      <w:pPr>
        <w:rPr>
          <w:rFonts w:ascii="Times New Roman" w:hAnsi="Times New Roman"/>
          <w:shd w:val="clear" w:color="auto" w:fill="FFFFFF"/>
        </w:rPr>
      </w:pPr>
    </w:p>
    <w:p w:rsidR="00EF0DCD" w:rsidRDefault="00EF0DCD" w:rsidP="00D04550">
      <w:pPr>
        <w:rPr>
          <w:rFonts w:ascii="Times New Roman" w:hAnsi="Times New Roman"/>
          <w:shd w:val="clear" w:color="auto" w:fill="FFFFFF"/>
        </w:rPr>
      </w:pPr>
    </w:p>
    <w:p w:rsidR="00642957" w:rsidRPr="00876309" w:rsidRDefault="00642957" w:rsidP="00D04550">
      <w:pPr>
        <w:rPr>
          <w:rFonts w:ascii="Times New Roman" w:hAnsi="Times New Roman"/>
          <w:shd w:val="clear" w:color="auto" w:fill="FFFFFF"/>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12"/>
      </w:tblGrid>
      <w:tr w:rsidR="00E05039" w:rsidRPr="00876309" w:rsidTr="00E05039">
        <w:tc>
          <w:tcPr>
            <w:tcW w:w="9212" w:type="dxa"/>
          </w:tcPr>
          <w:p w:rsidR="00E6486E" w:rsidRPr="00876309" w:rsidRDefault="00E6486E" w:rsidP="00E6486E">
            <w:pPr>
              <w:jc w:val="center"/>
              <w:rPr>
                <w:rFonts w:ascii="Times New Roman" w:eastAsia="Calibri" w:hAnsi="Times New Roman"/>
                <w:b/>
                <w:bCs/>
                <w:color w:val="FF0000"/>
                <w:sz w:val="16"/>
                <w:szCs w:val="16"/>
              </w:rPr>
            </w:pPr>
            <w:r w:rsidRPr="00876309">
              <w:rPr>
                <w:rFonts w:ascii="Times New Roman" w:eastAsia="Calibri" w:hAnsi="Times New Roman"/>
                <w:b/>
                <w:bCs/>
                <w:color w:val="FF0000"/>
                <w:sz w:val="16"/>
                <w:szCs w:val="16"/>
              </w:rPr>
              <w:t>DOCUMENTO ASSINADO ELETRONICAMENTE</w:t>
            </w:r>
          </w:p>
          <w:p w:rsidR="00E05039" w:rsidRPr="00876309" w:rsidRDefault="00E05039" w:rsidP="00E05039">
            <w:pPr>
              <w:jc w:val="center"/>
              <w:rPr>
                <w:rFonts w:ascii="Times New Roman" w:eastAsia="Calibri" w:hAnsi="Times New Roman"/>
                <w:b/>
                <w:bCs/>
              </w:rPr>
            </w:pPr>
            <w:r w:rsidRPr="00876309">
              <w:rPr>
                <w:rFonts w:ascii="Times New Roman" w:eastAsia="Calibri" w:hAnsi="Times New Roman"/>
                <w:b/>
                <w:bCs/>
              </w:rPr>
              <w:t>Harley Xavier Nascimento</w:t>
            </w:r>
          </w:p>
          <w:p w:rsidR="00E05039" w:rsidRPr="00876309" w:rsidRDefault="00E05039" w:rsidP="00E05039">
            <w:pPr>
              <w:jc w:val="center"/>
              <w:rPr>
                <w:rFonts w:ascii="Times New Roman" w:eastAsia="Calibri" w:hAnsi="Times New Roman"/>
                <w:bCs/>
                <w:sz w:val="20"/>
                <w:szCs w:val="20"/>
              </w:rPr>
            </w:pPr>
            <w:r w:rsidRPr="00876309">
              <w:rPr>
                <w:rFonts w:ascii="Times New Roman" w:eastAsia="Calibri" w:hAnsi="Times New Roman"/>
                <w:bCs/>
                <w:sz w:val="20"/>
                <w:szCs w:val="20"/>
              </w:rPr>
              <w:t xml:space="preserve">Superintendente Regional – </w:t>
            </w:r>
            <w:r w:rsidR="007B7BD6" w:rsidRPr="00876309">
              <w:rPr>
                <w:rFonts w:ascii="Times New Roman" w:eastAsia="Calibri" w:hAnsi="Times New Roman"/>
                <w:bCs/>
                <w:sz w:val="20"/>
                <w:szCs w:val="20"/>
              </w:rPr>
              <w:t>CODEVASF</w:t>
            </w:r>
            <w:r w:rsidRPr="00876309">
              <w:rPr>
                <w:rFonts w:ascii="Times New Roman" w:eastAsia="Calibri" w:hAnsi="Times New Roman"/>
                <w:bCs/>
                <w:sz w:val="20"/>
                <w:szCs w:val="20"/>
              </w:rPr>
              <w:t xml:space="preserve"> – 2ª SR</w:t>
            </w:r>
          </w:p>
          <w:p w:rsidR="00E05039" w:rsidRPr="00876309" w:rsidRDefault="00E05039" w:rsidP="00E05039">
            <w:pPr>
              <w:jc w:val="center"/>
              <w:rPr>
                <w:rFonts w:ascii="Times New Roman" w:eastAsia="Calibri" w:hAnsi="Times New Roman"/>
                <w:b/>
                <w:bCs/>
              </w:rPr>
            </w:pPr>
            <w:r w:rsidRPr="00876309">
              <w:rPr>
                <w:rFonts w:ascii="Times New Roman" w:eastAsia="Calibri" w:hAnsi="Times New Roman"/>
                <w:b/>
                <w:bCs/>
              </w:rPr>
              <w:t>APROVAÇÃO PELA AUTORIDADE COMPETENTE</w:t>
            </w:r>
          </w:p>
        </w:tc>
      </w:tr>
    </w:tbl>
    <w:p w:rsidR="00E05039" w:rsidRPr="00876309" w:rsidRDefault="00E05039" w:rsidP="00C4559F">
      <w:pPr>
        <w:jc w:val="left"/>
        <w:rPr>
          <w:rFonts w:ascii="Times New Roman" w:eastAsia="Calibri" w:hAnsi="Times New Roman"/>
          <w:b/>
          <w:bCs/>
        </w:rPr>
      </w:pPr>
    </w:p>
    <w:sectPr w:rsidR="00E05039" w:rsidRPr="00876309" w:rsidSect="00E57328">
      <w:headerReference w:type="default" r:id="rId13"/>
      <w:footerReference w:type="default" r:id="rId14"/>
      <w:pgSz w:w="11906" w:h="16838"/>
      <w:pgMar w:top="1843" w:right="1133" w:bottom="1134" w:left="1701" w:header="1134" w:footer="851"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7B6" w:rsidRDefault="000E27B6">
      <w:r>
        <w:separator/>
      </w:r>
    </w:p>
  </w:endnote>
  <w:endnote w:type="continuationSeparator" w:id="1">
    <w:p w:rsidR="000E27B6" w:rsidRDefault="000E27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LiberationSerif-Bold">
    <w:altName w:val="Segoe Print"/>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8469"/>
      <w:docPartObj>
        <w:docPartGallery w:val="Page Numbers (Bottom of Page)"/>
        <w:docPartUnique/>
      </w:docPartObj>
    </w:sdtPr>
    <w:sdtContent>
      <w:p w:rsidR="000E27B6" w:rsidRDefault="00BB5246">
        <w:pPr>
          <w:pStyle w:val="Rodap"/>
          <w:pBdr>
            <w:top w:val="single" w:sz="4" w:space="1" w:color="000000"/>
          </w:pBdr>
          <w:ind w:right="360"/>
          <w:jc w:val="center"/>
        </w:pPr>
        <w:r>
          <w:rPr>
            <w:noProof/>
          </w:rPr>
          <w:pict>
            <v:oval id="Oval 3" o:spid="_x0000_s4097" style="position:absolute;left:0;text-align:left;margin-left:0;margin-top:0;width:44.25pt;height:44.25pt;rotation:180;flip:x;z-index:251660288;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" filled="f" fillcolor="#c0504d [3205]" strokecolor="#a7bfde [1620]" strokeweight="1pt">
              <v:textbox inset=",0,,0">
                <w:txbxContent>
                  <w:p w:rsidR="000E27B6" w:rsidRDefault="00BB5246">
                    <w:pPr>
                      <w:pStyle w:val="Rodap"/>
                      <w:rPr>
                        <w:color w:val="4F81BD" w:themeColor="accent1"/>
                      </w:rPr>
                    </w:pPr>
                    <w:r>
                      <w:rPr>
                        <w:noProof/>
                        <w:color w:val="4F81BD" w:themeColor="accent1"/>
                      </w:rPr>
                      <w:fldChar w:fldCharType="begin"/>
                    </w:r>
                    <w:r w:rsidR="000E27B6">
                      <w:rPr>
                        <w:noProof/>
                        <w:color w:val="4F81BD" w:themeColor="accent1"/>
                      </w:rPr>
                      <w:instrText xml:space="preserve"> PAGE  \* MERGEFORMAT </w:instrText>
                    </w:r>
                    <w:r>
                      <w:rPr>
                        <w:noProof/>
                        <w:color w:val="4F81BD" w:themeColor="accent1"/>
                      </w:rPr>
                      <w:fldChar w:fldCharType="separate"/>
                    </w:r>
                    <w:r w:rsidR="00B64178">
                      <w:rPr>
                        <w:noProof/>
                        <w:color w:val="4F81BD" w:themeColor="accent1"/>
                      </w:rPr>
                      <w:t>11</w:t>
                    </w:r>
                    <w:r>
                      <w:rPr>
                        <w:noProof/>
                        <w:color w:val="4F81BD" w:themeColor="accent1"/>
                      </w:rPr>
                      <w:fldChar w:fldCharType="end"/>
                    </w:r>
                  </w:p>
                </w:txbxContent>
              </v:textbox>
              <w10:wrap anchorx="margin" anchory="margin"/>
            </v:oval>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7B6" w:rsidRDefault="000E27B6">
      <w:r>
        <w:separator/>
      </w:r>
    </w:p>
  </w:footnote>
  <w:footnote w:type="continuationSeparator" w:id="1">
    <w:p w:rsidR="000E27B6" w:rsidRDefault="000E27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9" w:type="dxa"/>
      <w:jc w:val="center"/>
      <w:tblLook w:val="01E0"/>
    </w:tblPr>
    <w:tblGrid>
      <w:gridCol w:w="2186"/>
      <w:gridCol w:w="7283"/>
    </w:tblGrid>
    <w:tr w:rsidR="000E27B6">
      <w:trPr>
        <w:jc w:val="center"/>
      </w:trPr>
      <w:tc>
        <w:tcPr>
          <w:tcW w:w="2186" w:type="dxa"/>
          <w:shd w:val="clear" w:color="auto" w:fill="auto"/>
          <w:vAlign w:val="center"/>
        </w:tcPr>
        <w:p w:rsidR="000E27B6" w:rsidRDefault="000E27B6">
          <w:pPr>
            <w:pStyle w:val="Cabealho"/>
            <w:jc w:val="center"/>
          </w:pPr>
          <w:r>
            <w:rPr>
              <w:noProof/>
            </w:rPr>
            <w:drawing>
              <wp:inline distT="0" distB="0" distL="0" distR="0">
                <wp:extent cx="1250950" cy="304800"/>
                <wp:effectExtent l="0" t="0" r="0" b="0"/>
                <wp:docPr id="12" name="Imagem 4" descr="Nova 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4" descr="Nova Imagem"/>
                        <pic:cNvPicPr>
                          <a:picLocks noChangeAspect="1" noChangeArrowheads="1"/>
                        </pic:cNvPicPr>
                      </pic:nvPicPr>
                      <pic:blipFill>
                        <a:blip r:embed="rId1"/>
                        <a:stretch>
                          <a:fillRect/>
                        </a:stretch>
                      </pic:blipFill>
                      <pic:spPr bwMode="auto">
                        <a:xfrm>
                          <a:off x="0" y="0"/>
                          <a:ext cx="1250950" cy="304800"/>
                        </a:xfrm>
                        <a:prstGeom prst="rect">
                          <a:avLst/>
                        </a:prstGeom>
                      </pic:spPr>
                    </pic:pic>
                  </a:graphicData>
                </a:graphic>
              </wp:inline>
            </w:drawing>
          </w:r>
        </w:p>
      </w:tc>
      <w:tc>
        <w:tcPr>
          <w:tcW w:w="7282" w:type="dxa"/>
          <w:shd w:val="clear" w:color="auto" w:fill="auto"/>
          <w:vAlign w:val="center"/>
        </w:tcPr>
        <w:p w:rsidR="000E27B6" w:rsidRDefault="000E27B6">
          <w:pPr>
            <w:rPr>
              <w:b/>
              <w:bCs/>
              <w:sz w:val="18"/>
              <w:szCs w:val="18"/>
            </w:rPr>
          </w:pPr>
          <w:r>
            <w:rPr>
              <w:b/>
              <w:bCs/>
              <w:sz w:val="18"/>
              <w:szCs w:val="18"/>
            </w:rPr>
            <w:t>Ministério do Desenvolvimento Regional</w:t>
          </w:r>
        </w:p>
        <w:p w:rsidR="000E27B6" w:rsidRDefault="000E27B6" w:rsidP="00B00F36">
          <w:pPr>
            <w:rPr>
              <w:b/>
              <w:bCs/>
              <w:sz w:val="18"/>
              <w:szCs w:val="18"/>
            </w:rPr>
          </w:pPr>
          <w:r>
            <w:rPr>
              <w:b/>
              <w:sz w:val="18"/>
              <w:szCs w:val="18"/>
            </w:rPr>
            <w:t>Companhia de Desenvolvimento dos Vales do São Francisco e do Parnaíba</w:t>
          </w:r>
        </w:p>
      </w:tc>
    </w:tr>
  </w:tbl>
  <w:p w:rsidR="000E27B6" w:rsidRDefault="000E27B6">
    <w:pPr>
      <w:pStyle w:val="Cabealho"/>
      <w:pBdr>
        <w:bottom w:val="single" w:sz="2" w:space="1" w:color="000000"/>
      </w:pBdr>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EAAC9C"/>
    <w:multiLevelType w:val="singleLevel"/>
    <w:tmpl w:val="F7EAAC9C"/>
    <w:lvl w:ilvl="0">
      <w:start w:val="1"/>
      <w:numFmt w:val="lowerLetter"/>
      <w:suff w:val="space"/>
      <w:lvlText w:val="%1)"/>
      <w:lvlJc w:val="left"/>
    </w:lvl>
  </w:abstractNum>
  <w:abstractNum w:abstractNumId="1">
    <w:nsid w:val="154412B0"/>
    <w:multiLevelType w:val="hybridMultilevel"/>
    <w:tmpl w:val="3E8A80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EBE7437"/>
    <w:multiLevelType w:val="multilevel"/>
    <w:tmpl w:val="2EBE7437"/>
    <w:lvl w:ilvl="0">
      <w:start w:val="1"/>
      <w:numFmt w:val="lowerLetter"/>
      <w:lvlText w:val="%1)"/>
      <w:lvlJc w:val="left"/>
      <w:pPr>
        <w:ind w:left="942" w:hanging="262"/>
      </w:pPr>
      <w:rPr>
        <w:rFonts w:ascii="Times New Roman" w:eastAsia="Times New Roman" w:hAnsi="Times New Roman" w:cs="Times New Roman" w:hint="default"/>
        <w:b/>
        <w:bCs/>
        <w:w w:val="99"/>
        <w:sz w:val="24"/>
        <w:szCs w:val="24"/>
        <w:lang w:val="pt-BR" w:eastAsia="pt-BR" w:bidi="pt-BR"/>
      </w:rPr>
    </w:lvl>
    <w:lvl w:ilvl="1">
      <w:numFmt w:val="bullet"/>
      <w:lvlText w:val="•"/>
      <w:lvlJc w:val="left"/>
      <w:pPr>
        <w:ind w:left="1902" w:hanging="262"/>
      </w:pPr>
      <w:rPr>
        <w:rFonts w:hint="default"/>
        <w:lang w:val="pt-BR" w:eastAsia="pt-BR" w:bidi="pt-BR"/>
      </w:rPr>
    </w:lvl>
    <w:lvl w:ilvl="2">
      <w:numFmt w:val="bullet"/>
      <w:lvlText w:val="•"/>
      <w:lvlJc w:val="left"/>
      <w:pPr>
        <w:ind w:left="2865" w:hanging="262"/>
      </w:pPr>
      <w:rPr>
        <w:rFonts w:hint="default"/>
        <w:lang w:val="pt-BR" w:eastAsia="pt-BR" w:bidi="pt-BR"/>
      </w:rPr>
    </w:lvl>
    <w:lvl w:ilvl="3">
      <w:numFmt w:val="bullet"/>
      <w:lvlText w:val="•"/>
      <w:lvlJc w:val="left"/>
      <w:pPr>
        <w:ind w:left="3827" w:hanging="262"/>
      </w:pPr>
      <w:rPr>
        <w:rFonts w:hint="default"/>
        <w:lang w:val="pt-BR" w:eastAsia="pt-BR" w:bidi="pt-BR"/>
      </w:rPr>
    </w:lvl>
    <w:lvl w:ilvl="4">
      <w:numFmt w:val="bullet"/>
      <w:lvlText w:val="•"/>
      <w:lvlJc w:val="left"/>
      <w:pPr>
        <w:ind w:left="4790" w:hanging="262"/>
      </w:pPr>
      <w:rPr>
        <w:rFonts w:hint="default"/>
        <w:lang w:val="pt-BR" w:eastAsia="pt-BR" w:bidi="pt-BR"/>
      </w:rPr>
    </w:lvl>
    <w:lvl w:ilvl="5">
      <w:numFmt w:val="bullet"/>
      <w:lvlText w:val="•"/>
      <w:lvlJc w:val="left"/>
      <w:pPr>
        <w:ind w:left="5753" w:hanging="262"/>
      </w:pPr>
      <w:rPr>
        <w:rFonts w:hint="default"/>
        <w:lang w:val="pt-BR" w:eastAsia="pt-BR" w:bidi="pt-BR"/>
      </w:rPr>
    </w:lvl>
    <w:lvl w:ilvl="6">
      <w:numFmt w:val="bullet"/>
      <w:lvlText w:val="•"/>
      <w:lvlJc w:val="left"/>
      <w:pPr>
        <w:ind w:left="6715" w:hanging="262"/>
      </w:pPr>
      <w:rPr>
        <w:rFonts w:hint="default"/>
        <w:lang w:val="pt-BR" w:eastAsia="pt-BR" w:bidi="pt-BR"/>
      </w:rPr>
    </w:lvl>
    <w:lvl w:ilvl="7">
      <w:numFmt w:val="bullet"/>
      <w:lvlText w:val="•"/>
      <w:lvlJc w:val="left"/>
      <w:pPr>
        <w:ind w:left="7678" w:hanging="262"/>
      </w:pPr>
      <w:rPr>
        <w:rFonts w:hint="default"/>
        <w:lang w:val="pt-BR" w:eastAsia="pt-BR" w:bidi="pt-BR"/>
      </w:rPr>
    </w:lvl>
    <w:lvl w:ilvl="8">
      <w:numFmt w:val="bullet"/>
      <w:lvlText w:val="•"/>
      <w:lvlJc w:val="left"/>
      <w:pPr>
        <w:ind w:left="8641" w:hanging="262"/>
      </w:pPr>
      <w:rPr>
        <w:rFonts w:hint="default"/>
        <w:lang w:val="pt-BR" w:eastAsia="pt-BR" w:bidi="pt-BR"/>
      </w:rPr>
    </w:lvl>
  </w:abstractNum>
  <w:abstractNum w:abstractNumId="3">
    <w:nsid w:val="34AF59BB"/>
    <w:multiLevelType w:val="hybridMultilevel"/>
    <w:tmpl w:val="33E2F6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4B6657FB"/>
    <w:multiLevelType w:val="hybridMultilevel"/>
    <w:tmpl w:val="44D4F2DA"/>
    <w:lvl w:ilvl="0" w:tplc="20E2BFDE">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5C5B67E6"/>
    <w:multiLevelType w:val="multilevel"/>
    <w:tmpl w:val="5310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5073B2"/>
    <w:multiLevelType w:val="hybridMultilevel"/>
    <w:tmpl w:val="4D7CF63A"/>
    <w:lvl w:ilvl="0" w:tplc="853A933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6"/>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rsids>
    <w:rsidRoot w:val="004E1C56"/>
    <w:rsid w:val="000001E6"/>
    <w:rsid w:val="00000266"/>
    <w:rsid w:val="00010DE9"/>
    <w:rsid w:val="0001315C"/>
    <w:rsid w:val="00015CD6"/>
    <w:rsid w:val="000160E4"/>
    <w:rsid w:val="000213F4"/>
    <w:rsid w:val="00025F71"/>
    <w:rsid w:val="0002690D"/>
    <w:rsid w:val="000269ED"/>
    <w:rsid w:val="00026AE8"/>
    <w:rsid w:val="00026EEC"/>
    <w:rsid w:val="000331C0"/>
    <w:rsid w:val="0003467F"/>
    <w:rsid w:val="0003560C"/>
    <w:rsid w:val="00037DB2"/>
    <w:rsid w:val="00037EB4"/>
    <w:rsid w:val="00040028"/>
    <w:rsid w:val="00055309"/>
    <w:rsid w:val="00062265"/>
    <w:rsid w:val="0006455E"/>
    <w:rsid w:val="0006574E"/>
    <w:rsid w:val="000709EF"/>
    <w:rsid w:val="0008117B"/>
    <w:rsid w:val="00084A6D"/>
    <w:rsid w:val="00087F93"/>
    <w:rsid w:val="0009180E"/>
    <w:rsid w:val="0009240C"/>
    <w:rsid w:val="00097024"/>
    <w:rsid w:val="000A100D"/>
    <w:rsid w:val="000A1324"/>
    <w:rsid w:val="000A1C86"/>
    <w:rsid w:val="000A3A2E"/>
    <w:rsid w:val="000A4458"/>
    <w:rsid w:val="000A5C5C"/>
    <w:rsid w:val="000B6813"/>
    <w:rsid w:val="000C2CC0"/>
    <w:rsid w:val="000C69FE"/>
    <w:rsid w:val="000D069F"/>
    <w:rsid w:val="000D6FFA"/>
    <w:rsid w:val="000D7A66"/>
    <w:rsid w:val="000E2386"/>
    <w:rsid w:val="000E27B6"/>
    <w:rsid w:val="000E60DF"/>
    <w:rsid w:val="000F09B4"/>
    <w:rsid w:val="000F0AF9"/>
    <w:rsid w:val="000F20CF"/>
    <w:rsid w:val="000F37AD"/>
    <w:rsid w:val="000F397F"/>
    <w:rsid w:val="000F48ED"/>
    <w:rsid w:val="000F7EA3"/>
    <w:rsid w:val="000F7EBE"/>
    <w:rsid w:val="00103509"/>
    <w:rsid w:val="00103D32"/>
    <w:rsid w:val="0010536F"/>
    <w:rsid w:val="00113239"/>
    <w:rsid w:val="001132A7"/>
    <w:rsid w:val="00114C14"/>
    <w:rsid w:val="00116F1D"/>
    <w:rsid w:val="001208E5"/>
    <w:rsid w:val="0012115A"/>
    <w:rsid w:val="00130EE4"/>
    <w:rsid w:val="00130EF2"/>
    <w:rsid w:val="00134EB7"/>
    <w:rsid w:val="00144134"/>
    <w:rsid w:val="00146BDA"/>
    <w:rsid w:val="00151736"/>
    <w:rsid w:val="00152F91"/>
    <w:rsid w:val="0015474D"/>
    <w:rsid w:val="00155973"/>
    <w:rsid w:val="001621CD"/>
    <w:rsid w:val="0016426D"/>
    <w:rsid w:val="001714B9"/>
    <w:rsid w:val="00172A1D"/>
    <w:rsid w:val="00174CC5"/>
    <w:rsid w:val="0018163A"/>
    <w:rsid w:val="00182AE8"/>
    <w:rsid w:val="00182BC0"/>
    <w:rsid w:val="00183074"/>
    <w:rsid w:val="0018434A"/>
    <w:rsid w:val="00190E5F"/>
    <w:rsid w:val="0019368C"/>
    <w:rsid w:val="00197B2B"/>
    <w:rsid w:val="00197CFC"/>
    <w:rsid w:val="001A6858"/>
    <w:rsid w:val="001B6091"/>
    <w:rsid w:val="001C1787"/>
    <w:rsid w:val="001C1B7A"/>
    <w:rsid w:val="001C45CD"/>
    <w:rsid w:val="001C673D"/>
    <w:rsid w:val="001C710E"/>
    <w:rsid w:val="001D1B38"/>
    <w:rsid w:val="001D2FF9"/>
    <w:rsid w:val="001D3337"/>
    <w:rsid w:val="001E72F7"/>
    <w:rsid w:val="001F235D"/>
    <w:rsid w:val="001F767D"/>
    <w:rsid w:val="001F796E"/>
    <w:rsid w:val="00200773"/>
    <w:rsid w:val="0020152D"/>
    <w:rsid w:val="0020707E"/>
    <w:rsid w:val="0021224B"/>
    <w:rsid w:val="00212A59"/>
    <w:rsid w:val="00213530"/>
    <w:rsid w:val="002141FA"/>
    <w:rsid w:val="0021463D"/>
    <w:rsid w:val="002208CA"/>
    <w:rsid w:val="002305C7"/>
    <w:rsid w:val="00233C00"/>
    <w:rsid w:val="00234535"/>
    <w:rsid w:val="00235735"/>
    <w:rsid w:val="00235BD6"/>
    <w:rsid w:val="00240938"/>
    <w:rsid w:val="00243538"/>
    <w:rsid w:val="00245331"/>
    <w:rsid w:val="00251C87"/>
    <w:rsid w:val="00261C60"/>
    <w:rsid w:val="00262F8E"/>
    <w:rsid w:val="00263802"/>
    <w:rsid w:val="002766A3"/>
    <w:rsid w:val="00276F76"/>
    <w:rsid w:val="00276FF6"/>
    <w:rsid w:val="00283008"/>
    <w:rsid w:val="0029165F"/>
    <w:rsid w:val="002950AB"/>
    <w:rsid w:val="0029691F"/>
    <w:rsid w:val="002A5765"/>
    <w:rsid w:val="002A7074"/>
    <w:rsid w:val="002B143F"/>
    <w:rsid w:val="002B15B5"/>
    <w:rsid w:val="002B2510"/>
    <w:rsid w:val="002B68D3"/>
    <w:rsid w:val="002B7458"/>
    <w:rsid w:val="002B7B1F"/>
    <w:rsid w:val="002C1443"/>
    <w:rsid w:val="002C262F"/>
    <w:rsid w:val="002C3949"/>
    <w:rsid w:val="002D212E"/>
    <w:rsid w:val="002D483A"/>
    <w:rsid w:val="002E1077"/>
    <w:rsid w:val="002E37E6"/>
    <w:rsid w:val="002F0F96"/>
    <w:rsid w:val="002F28B7"/>
    <w:rsid w:val="002F29E5"/>
    <w:rsid w:val="002F2A2D"/>
    <w:rsid w:val="002F4792"/>
    <w:rsid w:val="002F638F"/>
    <w:rsid w:val="00305CE3"/>
    <w:rsid w:val="00310789"/>
    <w:rsid w:val="00311A4A"/>
    <w:rsid w:val="003124F3"/>
    <w:rsid w:val="003145BE"/>
    <w:rsid w:val="00315C6D"/>
    <w:rsid w:val="00317514"/>
    <w:rsid w:val="003228AC"/>
    <w:rsid w:val="00324DBC"/>
    <w:rsid w:val="0032685C"/>
    <w:rsid w:val="003338E1"/>
    <w:rsid w:val="003419AC"/>
    <w:rsid w:val="003419E1"/>
    <w:rsid w:val="00341DC0"/>
    <w:rsid w:val="003425F9"/>
    <w:rsid w:val="00346EFB"/>
    <w:rsid w:val="00360AB5"/>
    <w:rsid w:val="00371505"/>
    <w:rsid w:val="00372303"/>
    <w:rsid w:val="003727D0"/>
    <w:rsid w:val="003801C5"/>
    <w:rsid w:val="00380282"/>
    <w:rsid w:val="00383752"/>
    <w:rsid w:val="0039105B"/>
    <w:rsid w:val="003935C8"/>
    <w:rsid w:val="00394AD1"/>
    <w:rsid w:val="00396C64"/>
    <w:rsid w:val="0039779D"/>
    <w:rsid w:val="003A1376"/>
    <w:rsid w:val="003A3882"/>
    <w:rsid w:val="003B0CAD"/>
    <w:rsid w:val="003B2B38"/>
    <w:rsid w:val="003B3035"/>
    <w:rsid w:val="003C3368"/>
    <w:rsid w:val="003C360D"/>
    <w:rsid w:val="003C698C"/>
    <w:rsid w:val="003D154D"/>
    <w:rsid w:val="003D67A2"/>
    <w:rsid w:val="003E2CD5"/>
    <w:rsid w:val="003E4898"/>
    <w:rsid w:val="003E7746"/>
    <w:rsid w:val="003F501E"/>
    <w:rsid w:val="003F5B9D"/>
    <w:rsid w:val="004003AC"/>
    <w:rsid w:val="004012BF"/>
    <w:rsid w:val="00404FB7"/>
    <w:rsid w:val="004159BB"/>
    <w:rsid w:val="004169F9"/>
    <w:rsid w:val="00420DDD"/>
    <w:rsid w:val="00425FAB"/>
    <w:rsid w:val="0042609B"/>
    <w:rsid w:val="00440A5A"/>
    <w:rsid w:val="00442EF1"/>
    <w:rsid w:val="004510B8"/>
    <w:rsid w:val="00457E18"/>
    <w:rsid w:val="004759C2"/>
    <w:rsid w:val="004777D4"/>
    <w:rsid w:val="00482B31"/>
    <w:rsid w:val="00485F60"/>
    <w:rsid w:val="004866BB"/>
    <w:rsid w:val="00486B5B"/>
    <w:rsid w:val="00490382"/>
    <w:rsid w:val="00495263"/>
    <w:rsid w:val="004A071A"/>
    <w:rsid w:val="004A5F94"/>
    <w:rsid w:val="004B19CB"/>
    <w:rsid w:val="004B1EEF"/>
    <w:rsid w:val="004C03C3"/>
    <w:rsid w:val="004C111E"/>
    <w:rsid w:val="004C12C8"/>
    <w:rsid w:val="004C220A"/>
    <w:rsid w:val="004C46A8"/>
    <w:rsid w:val="004C62D7"/>
    <w:rsid w:val="004D26AA"/>
    <w:rsid w:val="004D2C8A"/>
    <w:rsid w:val="004D6F08"/>
    <w:rsid w:val="004E0FBF"/>
    <w:rsid w:val="004E12EE"/>
    <w:rsid w:val="004E1C56"/>
    <w:rsid w:val="004E4807"/>
    <w:rsid w:val="004E66DF"/>
    <w:rsid w:val="004F3F0A"/>
    <w:rsid w:val="004F7886"/>
    <w:rsid w:val="00503913"/>
    <w:rsid w:val="00504391"/>
    <w:rsid w:val="005063B6"/>
    <w:rsid w:val="005100A5"/>
    <w:rsid w:val="0051040B"/>
    <w:rsid w:val="00510FCD"/>
    <w:rsid w:val="005156EC"/>
    <w:rsid w:val="005172F3"/>
    <w:rsid w:val="0053012D"/>
    <w:rsid w:val="00530688"/>
    <w:rsid w:val="00542679"/>
    <w:rsid w:val="00544C1E"/>
    <w:rsid w:val="005454AD"/>
    <w:rsid w:val="00546B21"/>
    <w:rsid w:val="00556792"/>
    <w:rsid w:val="00557F26"/>
    <w:rsid w:val="005906D4"/>
    <w:rsid w:val="005912A2"/>
    <w:rsid w:val="0059185E"/>
    <w:rsid w:val="00594C56"/>
    <w:rsid w:val="005A45E5"/>
    <w:rsid w:val="005A4DC0"/>
    <w:rsid w:val="005B1750"/>
    <w:rsid w:val="005B1774"/>
    <w:rsid w:val="005B34F9"/>
    <w:rsid w:val="005C1AFB"/>
    <w:rsid w:val="005C2BBE"/>
    <w:rsid w:val="005D1775"/>
    <w:rsid w:val="005D26BD"/>
    <w:rsid w:val="005D715E"/>
    <w:rsid w:val="005E059B"/>
    <w:rsid w:val="005E3AFD"/>
    <w:rsid w:val="005E7564"/>
    <w:rsid w:val="005E75EF"/>
    <w:rsid w:val="005F3926"/>
    <w:rsid w:val="00600B73"/>
    <w:rsid w:val="00600F00"/>
    <w:rsid w:val="006024A7"/>
    <w:rsid w:val="00604BD7"/>
    <w:rsid w:val="0061050D"/>
    <w:rsid w:val="00610F1E"/>
    <w:rsid w:val="006138DC"/>
    <w:rsid w:val="00613CB0"/>
    <w:rsid w:val="0061470A"/>
    <w:rsid w:val="0061532C"/>
    <w:rsid w:val="006165C8"/>
    <w:rsid w:val="00617F75"/>
    <w:rsid w:val="00621DE8"/>
    <w:rsid w:val="00626F65"/>
    <w:rsid w:val="006273DD"/>
    <w:rsid w:val="00630E0D"/>
    <w:rsid w:val="00635ACA"/>
    <w:rsid w:val="00640308"/>
    <w:rsid w:val="00641FC3"/>
    <w:rsid w:val="00642957"/>
    <w:rsid w:val="00642A5B"/>
    <w:rsid w:val="006538DE"/>
    <w:rsid w:val="00653ABC"/>
    <w:rsid w:val="00653E7F"/>
    <w:rsid w:val="0065557C"/>
    <w:rsid w:val="00674AE7"/>
    <w:rsid w:val="00681F33"/>
    <w:rsid w:val="006857FC"/>
    <w:rsid w:val="0069249F"/>
    <w:rsid w:val="006970F3"/>
    <w:rsid w:val="006A03CB"/>
    <w:rsid w:val="006A12A8"/>
    <w:rsid w:val="006A15FC"/>
    <w:rsid w:val="006A5854"/>
    <w:rsid w:val="006A65C0"/>
    <w:rsid w:val="006B39D7"/>
    <w:rsid w:val="006B59E5"/>
    <w:rsid w:val="006B643F"/>
    <w:rsid w:val="006C1AE9"/>
    <w:rsid w:val="006C20DF"/>
    <w:rsid w:val="006C5C6E"/>
    <w:rsid w:val="006D2E5F"/>
    <w:rsid w:val="006D34A5"/>
    <w:rsid w:val="006D39CF"/>
    <w:rsid w:val="006D49EC"/>
    <w:rsid w:val="006D5259"/>
    <w:rsid w:val="006D5AE9"/>
    <w:rsid w:val="006E30A4"/>
    <w:rsid w:val="006F1D26"/>
    <w:rsid w:val="006F2875"/>
    <w:rsid w:val="006F3333"/>
    <w:rsid w:val="006F7311"/>
    <w:rsid w:val="0070681C"/>
    <w:rsid w:val="00707888"/>
    <w:rsid w:val="0071618B"/>
    <w:rsid w:val="00721A2F"/>
    <w:rsid w:val="00733D30"/>
    <w:rsid w:val="00734BF7"/>
    <w:rsid w:val="00744FF9"/>
    <w:rsid w:val="0074648C"/>
    <w:rsid w:val="00746DAF"/>
    <w:rsid w:val="007529BD"/>
    <w:rsid w:val="007704E5"/>
    <w:rsid w:val="007720AC"/>
    <w:rsid w:val="0077698A"/>
    <w:rsid w:val="00777777"/>
    <w:rsid w:val="00777EA0"/>
    <w:rsid w:val="0078070C"/>
    <w:rsid w:val="007824DB"/>
    <w:rsid w:val="00787C8A"/>
    <w:rsid w:val="00790ECB"/>
    <w:rsid w:val="007B182A"/>
    <w:rsid w:val="007B73DC"/>
    <w:rsid w:val="007B7BD6"/>
    <w:rsid w:val="007C0F15"/>
    <w:rsid w:val="007C2D14"/>
    <w:rsid w:val="007C49C1"/>
    <w:rsid w:val="007C5196"/>
    <w:rsid w:val="007D0EE4"/>
    <w:rsid w:val="007D7F91"/>
    <w:rsid w:val="007E39EF"/>
    <w:rsid w:val="007E4EE7"/>
    <w:rsid w:val="007E6D74"/>
    <w:rsid w:val="007E73C0"/>
    <w:rsid w:val="007E7974"/>
    <w:rsid w:val="007F4E18"/>
    <w:rsid w:val="008007E1"/>
    <w:rsid w:val="00806331"/>
    <w:rsid w:val="008130E9"/>
    <w:rsid w:val="0081738D"/>
    <w:rsid w:val="00827C87"/>
    <w:rsid w:val="00830E3A"/>
    <w:rsid w:val="00831306"/>
    <w:rsid w:val="008315C5"/>
    <w:rsid w:val="008349CA"/>
    <w:rsid w:val="00835144"/>
    <w:rsid w:val="008351AF"/>
    <w:rsid w:val="008533DB"/>
    <w:rsid w:val="00856A02"/>
    <w:rsid w:val="00856F5F"/>
    <w:rsid w:val="00862ACC"/>
    <w:rsid w:val="00862D1E"/>
    <w:rsid w:val="008636DF"/>
    <w:rsid w:val="008658AB"/>
    <w:rsid w:val="00871413"/>
    <w:rsid w:val="00873CA8"/>
    <w:rsid w:val="00876309"/>
    <w:rsid w:val="00876710"/>
    <w:rsid w:val="00876818"/>
    <w:rsid w:val="0088317E"/>
    <w:rsid w:val="00886150"/>
    <w:rsid w:val="0089599B"/>
    <w:rsid w:val="008A5F95"/>
    <w:rsid w:val="008B09DB"/>
    <w:rsid w:val="008B12EF"/>
    <w:rsid w:val="008B273C"/>
    <w:rsid w:val="008B5DED"/>
    <w:rsid w:val="008C482A"/>
    <w:rsid w:val="008C6751"/>
    <w:rsid w:val="008D2BA6"/>
    <w:rsid w:val="008D7021"/>
    <w:rsid w:val="008D7459"/>
    <w:rsid w:val="008E09CB"/>
    <w:rsid w:val="008E45B0"/>
    <w:rsid w:val="008E5232"/>
    <w:rsid w:val="008E6A87"/>
    <w:rsid w:val="008F2A71"/>
    <w:rsid w:val="008F3AD8"/>
    <w:rsid w:val="00902D37"/>
    <w:rsid w:val="0090797A"/>
    <w:rsid w:val="00914FD3"/>
    <w:rsid w:val="00917CCC"/>
    <w:rsid w:val="0092083C"/>
    <w:rsid w:val="00926BDB"/>
    <w:rsid w:val="009276F4"/>
    <w:rsid w:val="009323A2"/>
    <w:rsid w:val="009341D1"/>
    <w:rsid w:val="00935906"/>
    <w:rsid w:val="009368FD"/>
    <w:rsid w:val="009375F4"/>
    <w:rsid w:val="00950DCE"/>
    <w:rsid w:val="0095482F"/>
    <w:rsid w:val="00957A4E"/>
    <w:rsid w:val="00957B2D"/>
    <w:rsid w:val="0096072B"/>
    <w:rsid w:val="00960883"/>
    <w:rsid w:val="00962E05"/>
    <w:rsid w:val="009652A5"/>
    <w:rsid w:val="009730C5"/>
    <w:rsid w:val="009738B2"/>
    <w:rsid w:val="00974867"/>
    <w:rsid w:val="00975E8E"/>
    <w:rsid w:val="00987136"/>
    <w:rsid w:val="009933BF"/>
    <w:rsid w:val="00997451"/>
    <w:rsid w:val="00997B78"/>
    <w:rsid w:val="009A567F"/>
    <w:rsid w:val="009B23B8"/>
    <w:rsid w:val="009B306E"/>
    <w:rsid w:val="009B5152"/>
    <w:rsid w:val="009B5B27"/>
    <w:rsid w:val="009B72A2"/>
    <w:rsid w:val="009C44FD"/>
    <w:rsid w:val="009D4C22"/>
    <w:rsid w:val="009D53C0"/>
    <w:rsid w:val="009D6D8B"/>
    <w:rsid w:val="009E194C"/>
    <w:rsid w:val="009E6979"/>
    <w:rsid w:val="009E7369"/>
    <w:rsid w:val="009F6978"/>
    <w:rsid w:val="009F736F"/>
    <w:rsid w:val="00A01841"/>
    <w:rsid w:val="00A02189"/>
    <w:rsid w:val="00A0304D"/>
    <w:rsid w:val="00A05689"/>
    <w:rsid w:val="00A05F8D"/>
    <w:rsid w:val="00A112FA"/>
    <w:rsid w:val="00A12786"/>
    <w:rsid w:val="00A24DA6"/>
    <w:rsid w:val="00A31CA2"/>
    <w:rsid w:val="00A33907"/>
    <w:rsid w:val="00A33D9A"/>
    <w:rsid w:val="00A43984"/>
    <w:rsid w:val="00A43991"/>
    <w:rsid w:val="00A452BE"/>
    <w:rsid w:val="00A61DB5"/>
    <w:rsid w:val="00A63B0A"/>
    <w:rsid w:val="00A64988"/>
    <w:rsid w:val="00A64C0D"/>
    <w:rsid w:val="00A76993"/>
    <w:rsid w:val="00A80853"/>
    <w:rsid w:val="00A868F2"/>
    <w:rsid w:val="00A9681D"/>
    <w:rsid w:val="00A96BF5"/>
    <w:rsid w:val="00AA1E52"/>
    <w:rsid w:val="00AB05F5"/>
    <w:rsid w:val="00AB16B2"/>
    <w:rsid w:val="00AB2043"/>
    <w:rsid w:val="00AB2647"/>
    <w:rsid w:val="00AB6C0B"/>
    <w:rsid w:val="00AC5289"/>
    <w:rsid w:val="00AC61C6"/>
    <w:rsid w:val="00AC72D2"/>
    <w:rsid w:val="00AC7CCD"/>
    <w:rsid w:val="00AC7D2C"/>
    <w:rsid w:val="00AD7341"/>
    <w:rsid w:val="00AE3F54"/>
    <w:rsid w:val="00AF1FBA"/>
    <w:rsid w:val="00AF31C4"/>
    <w:rsid w:val="00AF45B0"/>
    <w:rsid w:val="00AF7F5B"/>
    <w:rsid w:val="00B00F36"/>
    <w:rsid w:val="00B050D8"/>
    <w:rsid w:val="00B07CAE"/>
    <w:rsid w:val="00B16072"/>
    <w:rsid w:val="00B216AA"/>
    <w:rsid w:val="00B22C55"/>
    <w:rsid w:val="00B31E04"/>
    <w:rsid w:val="00B32771"/>
    <w:rsid w:val="00B34B68"/>
    <w:rsid w:val="00B37546"/>
    <w:rsid w:val="00B4498E"/>
    <w:rsid w:val="00B46396"/>
    <w:rsid w:val="00B47160"/>
    <w:rsid w:val="00B4749A"/>
    <w:rsid w:val="00B47678"/>
    <w:rsid w:val="00B54B6C"/>
    <w:rsid w:val="00B55FB3"/>
    <w:rsid w:val="00B57286"/>
    <w:rsid w:val="00B602D8"/>
    <w:rsid w:val="00B62364"/>
    <w:rsid w:val="00B64178"/>
    <w:rsid w:val="00B64C1E"/>
    <w:rsid w:val="00B66A3B"/>
    <w:rsid w:val="00B70375"/>
    <w:rsid w:val="00B71F27"/>
    <w:rsid w:val="00B75551"/>
    <w:rsid w:val="00B845CF"/>
    <w:rsid w:val="00B85146"/>
    <w:rsid w:val="00B85CF5"/>
    <w:rsid w:val="00B93DF0"/>
    <w:rsid w:val="00B977D0"/>
    <w:rsid w:val="00BA1160"/>
    <w:rsid w:val="00BA288F"/>
    <w:rsid w:val="00BA52C3"/>
    <w:rsid w:val="00BB21AB"/>
    <w:rsid w:val="00BB5246"/>
    <w:rsid w:val="00BB5B10"/>
    <w:rsid w:val="00BB7998"/>
    <w:rsid w:val="00BC1D1B"/>
    <w:rsid w:val="00BC4852"/>
    <w:rsid w:val="00BC5D78"/>
    <w:rsid w:val="00BC5E05"/>
    <w:rsid w:val="00BD008D"/>
    <w:rsid w:val="00BD133C"/>
    <w:rsid w:val="00BD5C3D"/>
    <w:rsid w:val="00BE75AC"/>
    <w:rsid w:val="00BF5311"/>
    <w:rsid w:val="00C018F6"/>
    <w:rsid w:val="00C066E3"/>
    <w:rsid w:val="00C10C2D"/>
    <w:rsid w:val="00C17754"/>
    <w:rsid w:val="00C2098F"/>
    <w:rsid w:val="00C21C85"/>
    <w:rsid w:val="00C244D9"/>
    <w:rsid w:val="00C35E71"/>
    <w:rsid w:val="00C37076"/>
    <w:rsid w:val="00C4559F"/>
    <w:rsid w:val="00C45BE6"/>
    <w:rsid w:val="00C50EC2"/>
    <w:rsid w:val="00C619B3"/>
    <w:rsid w:val="00C62A75"/>
    <w:rsid w:val="00C63BD1"/>
    <w:rsid w:val="00C63FAE"/>
    <w:rsid w:val="00C656C5"/>
    <w:rsid w:val="00C709CA"/>
    <w:rsid w:val="00C90B40"/>
    <w:rsid w:val="00C9470D"/>
    <w:rsid w:val="00C95C28"/>
    <w:rsid w:val="00CA6335"/>
    <w:rsid w:val="00CB4E6D"/>
    <w:rsid w:val="00CC5A73"/>
    <w:rsid w:val="00CC7764"/>
    <w:rsid w:val="00CD3010"/>
    <w:rsid w:val="00CD33E8"/>
    <w:rsid w:val="00CD6A32"/>
    <w:rsid w:val="00CE17F8"/>
    <w:rsid w:val="00CE2487"/>
    <w:rsid w:val="00CE375D"/>
    <w:rsid w:val="00CE74CB"/>
    <w:rsid w:val="00CF130A"/>
    <w:rsid w:val="00CF25CC"/>
    <w:rsid w:val="00CF5A9E"/>
    <w:rsid w:val="00CF7AF0"/>
    <w:rsid w:val="00D04550"/>
    <w:rsid w:val="00D05265"/>
    <w:rsid w:val="00D056F2"/>
    <w:rsid w:val="00D07521"/>
    <w:rsid w:val="00D1257C"/>
    <w:rsid w:val="00D26038"/>
    <w:rsid w:val="00D325CA"/>
    <w:rsid w:val="00D32F83"/>
    <w:rsid w:val="00D373B7"/>
    <w:rsid w:val="00D42007"/>
    <w:rsid w:val="00D52126"/>
    <w:rsid w:val="00D54DA8"/>
    <w:rsid w:val="00D57E00"/>
    <w:rsid w:val="00D60414"/>
    <w:rsid w:val="00D60DB0"/>
    <w:rsid w:val="00D62586"/>
    <w:rsid w:val="00D66DAB"/>
    <w:rsid w:val="00D7412C"/>
    <w:rsid w:val="00D81D93"/>
    <w:rsid w:val="00D83824"/>
    <w:rsid w:val="00D86981"/>
    <w:rsid w:val="00D87AA6"/>
    <w:rsid w:val="00D901B0"/>
    <w:rsid w:val="00D904E0"/>
    <w:rsid w:val="00D915D9"/>
    <w:rsid w:val="00D949A5"/>
    <w:rsid w:val="00D94C95"/>
    <w:rsid w:val="00D94E57"/>
    <w:rsid w:val="00D9580A"/>
    <w:rsid w:val="00D95CFF"/>
    <w:rsid w:val="00D96099"/>
    <w:rsid w:val="00D9656E"/>
    <w:rsid w:val="00D965F5"/>
    <w:rsid w:val="00D973F0"/>
    <w:rsid w:val="00DA4D1D"/>
    <w:rsid w:val="00DA5F82"/>
    <w:rsid w:val="00DA6880"/>
    <w:rsid w:val="00DA7CA1"/>
    <w:rsid w:val="00DB2EC0"/>
    <w:rsid w:val="00DB4572"/>
    <w:rsid w:val="00DB6F74"/>
    <w:rsid w:val="00DC2157"/>
    <w:rsid w:val="00DC27E9"/>
    <w:rsid w:val="00DC3732"/>
    <w:rsid w:val="00DD3CE3"/>
    <w:rsid w:val="00DE37C2"/>
    <w:rsid w:val="00DE43EE"/>
    <w:rsid w:val="00DE6E18"/>
    <w:rsid w:val="00DF0D17"/>
    <w:rsid w:val="00DF5AC3"/>
    <w:rsid w:val="00DF625C"/>
    <w:rsid w:val="00E003D2"/>
    <w:rsid w:val="00E04DAA"/>
    <w:rsid w:val="00E05039"/>
    <w:rsid w:val="00E059B1"/>
    <w:rsid w:val="00E12538"/>
    <w:rsid w:val="00E14C22"/>
    <w:rsid w:val="00E15390"/>
    <w:rsid w:val="00E339C5"/>
    <w:rsid w:val="00E353C2"/>
    <w:rsid w:val="00E36165"/>
    <w:rsid w:val="00E41399"/>
    <w:rsid w:val="00E426AE"/>
    <w:rsid w:val="00E42CF4"/>
    <w:rsid w:val="00E52C1D"/>
    <w:rsid w:val="00E57328"/>
    <w:rsid w:val="00E63358"/>
    <w:rsid w:val="00E6486E"/>
    <w:rsid w:val="00E67E36"/>
    <w:rsid w:val="00E76D29"/>
    <w:rsid w:val="00E80626"/>
    <w:rsid w:val="00E8340D"/>
    <w:rsid w:val="00E83DC1"/>
    <w:rsid w:val="00E900D0"/>
    <w:rsid w:val="00E905D4"/>
    <w:rsid w:val="00E939D9"/>
    <w:rsid w:val="00E95230"/>
    <w:rsid w:val="00E97C02"/>
    <w:rsid w:val="00EA2869"/>
    <w:rsid w:val="00EA3299"/>
    <w:rsid w:val="00EA62B1"/>
    <w:rsid w:val="00EA6A53"/>
    <w:rsid w:val="00EB2824"/>
    <w:rsid w:val="00EB31F4"/>
    <w:rsid w:val="00EB53A9"/>
    <w:rsid w:val="00EB6121"/>
    <w:rsid w:val="00EB7218"/>
    <w:rsid w:val="00EC00A2"/>
    <w:rsid w:val="00EC07F7"/>
    <w:rsid w:val="00ED4DF2"/>
    <w:rsid w:val="00EF0DCD"/>
    <w:rsid w:val="00EF2A65"/>
    <w:rsid w:val="00EF5E7E"/>
    <w:rsid w:val="00EF6655"/>
    <w:rsid w:val="00F0005D"/>
    <w:rsid w:val="00F02149"/>
    <w:rsid w:val="00F03B62"/>
    <w:rsid w:val="00F0639B"/>
    <w:rsid w:val="00F069C5"/>
    <w:rsid w:val="00F121B8"/>
    <w:rsid w:val="00F27065"/>
    <w:rsid w:val="00F309BB"/>
    <w:rsid w:val="00F337AE"/>
    <w:rsid w:val="00F35BAA"/>
    <w:rsid w:val="00F431DB"/>
    <w:rsid w:val="00F46268"/>
    <w:rsid w:val="00F509E1"/>
    <w:rsid w:val="00F54499"/>
    <w:rsid w:val="00F57B37"/>
    <w:rsid w:val="00F614FF"/>
    <w:rsid w:val="00F65DBE"/>
    <w:rsid w:val="00F70EB4"/>
    <w:rsid w:val="00F754C6"/>
    <w:rsid w:val="00F824D1"/>
    <w:rsid w:val="00F90ACD"/>
    <w:rsid w:val="00FA5FDB"/>
    <w:rsid w:val="00FA7EE9"/>
    <w:rsid w:val="00FB4D67"/>
    <w:rsid w:val="00FB5C01"/>
    <w:rsid w:val="00FB7D7A"/>
    <w:rsid w:val="00FC1B71"/>
    <w:rsid w:val="00FD270F"/>
    <w:rsid w:val="00FD6199"/>
    <w:rsid w:val="00FD66CF"/>
    <w:rsid w:val="00FD7121"/>
    <w:rsid w:val="00FE0182"/>
    <w:rsid w:val="00FE047B"/>
    <w:rsid w:val="00FE6675"/>
    <w:rsid w:val="00FE7867"/>
    <w:rsid w:val="00FF4BBB"/>
    <w:rsid w:val="00FF4E2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4"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0E6"/>
    <w:pPr>
      <w:jc w:val="both"/>
    </w:pPr>
    <w:rPr>
      <w:rFonts w:ascii="Arial" w:hAnsi="Arial"/>
      <w:sz w:val="24"/>
      <w:szCs w:val="24"/>
    </w:rPr>
  </w:style>
  <w:style w:type="paragraph" w:styleId="Ttulo2">
    <w:name w:val="heading 2"/>
    <w:basedOn w:val="Normal"/>
    <w:next w:val="Normal"/>
    <w:link w:val="Ttulo2Char"/>
    <w:uiPriority w:val="4"/>
    <w:qFormat/>
    <w:locked/>
    <w:rsid w:val="00383752"/>
    <w:pPr>
      <w:keepNext/>
      <w:spacing w:after="240"/>
      <w:jc w:val="left"/>
      <w:outlineLvl w:val="1"/>
    </w:pPr>
    <w:rPr>
      <w:rFonts w:ascii="Calibri" w:eastAsia="MS Gothic" w:hAnsi="Calibri"/>
      <w:color w:val="082A75"/>
      <w:sz w:val="36"/>
      <w:szCs w:val="26"/>
      <w:lang w:val="pt-PT"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semiHidden/>
    <w:qFormat/>
    <w:locked/>
    <w:rsid w:val="00FF1660"/>
    <w:rPr>
      <w:rFonts w:ascii="Arial" w:hAnsi="Arial" w:cs="Times New Roman"/>
      <w:sz w:val="24"/>
      <w:szCs w:val="24"/>
    </w:rPr>
  </w:style>
  <w:style w:type="character" w:customStyle="1" w:styleId="RodapChar">
    <w:name w:val="Rodapé Char"/>
    <w:basedOn w:val="Fontepargpadro"/>
    <w:link w:val="Rodap"/>
    <w:uiPriority w:val="99"/>
    <w:qFormat/>
    <w:locked/>
    <w:rsid w:val="00FF1660"/>
    <w:rPr>
      <w:rFonts w:ascii="Arial" w:hAnsi="Arial" w:cs="Times New Roman"/>
      <w:sz w:val="24"/>
      <w:szCs w:val="24"/>
    </w:rPr>
  </w:style>
  <w:style w:type="character" w:styleId="Nmerodepgina">
    <w:name w:val="page number"/>
    <w:basedOn w:val="Fontepargpadro"/>
    <w:uiPriority w:val="99"/>
    <w:qFormat/>
    <w:rsid w:val="00F5006E"/>
    <w:rPr>
      <w:rFonts w:cs="Times New Roman"/>
    </w:rPr>
  </w:style>
  <w:style w:type="character" w:customStyle="1" w:styleId="simplelist-classic-oddtext">
    <w:name w:val="simplelist-classic-oddtext"/>
    <w:basedOn w:val="Fontepargpadro"/>
    <w:qFormat/>
    <w:rsid w:val="004356ED"/>
    <w:rPr>
      <w:rFonts w:cs="Times New Roman"/>
    </w:rPr>
  </w:style>
  <w:style w:type="character" w:customStyle="1" w:styleId="label-dados-texto">
    <w:name w:val="label-dados-texto"/>
    <w:basedOn w:val="Fontepargpadro"/>
    <w:uiPriority w:val="99"/>
    <w:qFormat/>
    <w:rsid w:val="004356ED"/>
    <w:rPr>
      <w:rFonts w:cs="Times New Roman"/>
    </w:rPr>
  </w:style>
  <w:style w:type="character" w:customStyle="1" w:styleId="TextodebaloChar">
    <w:name w:val="Texto de balão Char"/>
    <w:basedOn w:val="Fontepargpadro"/>
    <w:link w:val="Textodebalo"/>
    <w:uiPriority w:val="99"/>
    <w:qFormat/>
    <w:locked/>
    <w:rsid w:val="00516DAD"/>
    <w:rPr>
      <w:rFonts w:ascii="Tahoma" w:hAnsi="Tahoma" w:cs="Times New Roman"/>
      <w:sz w:val="16"/>
    </w:rPr>
  </w:style>
  <w:style w:type="character" w:customStyle="1" w:styleId="label-dados-texto1">
    <w:name w:val="label-dados-texto1"/>
    <w:basedOn w:val="Fontepargpadro"/>
    <w:uiPriority w:val="99"/>
    <w:qFormat/>
    <w:rsid w:val="00F15EC4"/>
    <w:rPr>
      <w:rFonts w:ascii="Tahoma" w:hAnsi="Tahoma" w:cs="Tahoma"/>
      <w:b/>
      <w:bCs/>
      <w:color w:val="003366"/>
      <w:sz w:val="10"/>
      <w:szCs w:val="10"/>
    </w:rPr>
  </w:style>
  <w:style w:type="character" w:customStyle="1" w:styleId="simplelist-classic-oddtext1">
    <w:name w:val="simplelist-classic-oddtext1"/>
    <w:basedOn w:val="Fontepargpadro"/>
    <w:uiPriority w:val="99"/>
    <w:qFormat/>
    <w:rsid w:val="008D0E00"/>
    <w:rPr>
      <w:rFonts w:ascii="Tahoma" w:hAnsi="Tahoma" w:cs="Tahoma"/>
      <w:b/>
      <w:bCs/>
      <w:color w:val="003366"/>
      <w:sz w:val="10"/>
      <w:szCs w:val="10"/>
    </w:rPr>
  </w:style>
  <w:style w:type="character" w:customStyle="1" w:styleId="fieldset-titulo">
    <w:name w:val="fieldset-titulo"/>
    <w:basedOn w:val="Fontepargpadro"/>
    <w:qFormat/>
    <w:rsid w:val="00810F66"/>
  </w:style>
  <w:style w:type="character" w:customStyle="1" w:styleId="Corpodetexto2Char">
    <w:name w:val="Corpo de texto 2 Char"/>
    <w:basedOn w:val="Fontepargpadro"/>
    <w:link w:val="Corpodetexto2"/>
    <w:semiHidden/>
    <w:qFormat/>
    <w:rsid w:val="00686C80"/>
    <w:rPr>
      <w:sz w:val="24"/>
      <w:szCs w:val="20"/>
      <w:lang w:eastAsia="ar-SA"/>
    </w:rPr>
  </w:style>
  <w:style w:type="character" w:styleId="Refdecomentrio">
    <w:name w:val="annotation reference"/>
    <w:basedOn w:val="Fontepargpadro"/>
    <w:uiPriority w:val="99"/>
    <w:semiHidden/>
    <w:unhideWhenUsed/>
    <w:qFormat/>
    <w:rsid w:val="00A1341C"/>
    <w:rPr>
      <w:sz w:val="16"/>
      <w:szCs w:val="16"/>
    </w:rPr>
  </w:style>
  <w:style w:type="character" w:customStyle="1" w:styleId="TextodecomentrioChar">
    <w:name w:val="Texto de comentário Char"/>
    <w:basedOn w:val="Fontepargpadro"/>
    <w:link w:val="Textodecomentrio"/>
    <w:uiPriority w:val="99"/>
    <w:semiHidden/>
    <w:qFormat/>
    <w:rsid w:val="00A1341C"/>
    <w:rPr>
      <w:rFonts w:ascii="Arial" w:hAnsi="Arial"/>
      <w:sz w:val="20"/>
      <w:szCs w:val="20"/>
    </w:rPr>
  </w:style>
  <w:style w:type="character" w:customStyle="1" w:styleId="AssuntodocomentrioChar">
    <w:name w:val="Assunto do comentário Char"/>
    <w:basedOn w:val="TextodecomentrioChar"/>
    <w:link w:val="Assuntodocomentrio"/>
    <w:uiPriority w:val="99"/>
    <w:semiHidden/>
    <w:qFormat/>
    <w:rsid w:val="00A1341C"/>
    <w:rPr>
      <w:rFonts w:ascii="Arial" w:hAnsi="Arial"/>
      <w:b/>
      <w:bCs/>
      <w:sz w:val="20"/>
      <w:szCs w:val="20"/>
    </w:rPr>
  </w:style>
  <w:style w:type="character" w:styleId="Forte">
    <w:name w:val="Strong"/>
    <w:basedOn w:val="Fontepargpadro"/>
    <w:uiPriority w:val="22"/>
    <w:qFormat/>
    <w:locked/>
    <w:rsid w:val="00013224"/>
    <w:rPr>
      <w:b/>
      <w:bCs/>
    </w:rPr>
  </w:style>
  <w:style w:type="character" w:customStyle="1" w:styleId="LinkdaInternet">
    <w:name w:val="Link da Internet"/>
    <w:basedOn w:val="Fontepargpadro"/>
    <w:uiPriority w:val="99"/>
    <w:semiHidden/>
    <w:unhideWhenUsed/>
    <w:rsid w:val="00013224"/>
    <w:rPr>
      <w:color w:val="0000FF"/>
      <w:u w:val="single"/>
    </w:rPr>
  </w:style>
  <w:style w:type="character" w:customStyle="1" w:styleId="TtuloChar">
    <w:name w:val="Título Char"/>
    <w:basedOn w:val="Fontepargpadro"/>
    <w:link w:val="Ttulo"/>
    <w:qFormat/>
    <w:rsid w:val="009B00AD"/>
    <w:rPr>
      <w:rFonts w:ascii="Arial Narrow" w:hAnsi="Arial Narrow"/>
      <w:b/>
      <w:bCs/>
      <w:sz w:val="24"/>
      <w:szCs w:val="24"/>
    </w:rPr>
  </w:style>
  <w:style w:type="character" w:customStyle="1" w:styleId="RecuodecorpodetextoChar">
    <w:name w:val="Recuo de corpo de texto Char"/>
    <w:basedOn w:val="Fontepargpadro"/>
    <w:link w:val="Recuodecorpodetexto"/>
    <w:uiPriority w:val="99"/>
    <w:semiHidden/>
    <w:qFormat/>
    <w:rsid w:val="008F1801"/>
    <w:rPr>
      <w:rFonts w:ascii="Arial" w:hAnsi="Arial"/>
      <w:sz w:val="24"/>
      <w:szCs w:val="24"/>
    </w:rPr>
  </w:style>
  <w:style w:type="paragraph" w:styleId="Ttulo">
    <w:name w:val="Title"/>
    <w:basedOn w:val="Normal"/>
    <w:next w:val="Corpodetexto"/>
    <w:link w:val="TtuloChar"/>
    <w:qFormat/>
    <w:locked/>
    <w:rsid w:val="009B00AD"/>
    <w:pPr>
      <w:jc w:val="center"/>
    </w:pPr>
    <w:rPr>
      <w:rFonts w:ascii="Arial Narrow" w:hAnsi="Arial Narrow"/>
      <w:b/>
      <w:bCs/>
    </w:rPr>
  </w:style>
  <w:style w:type="paragraph" w:styleId="Corpodetexto">
    <w:name w:val="Body Text"/>
    <w:basedOn w:val="Normal"/>
    <w:rsid w:val="00F614FF"/>
    <w:pPr>
      <w:spacing w:after="140" w:line="276" w:lineRule="auto"/>
    </w:pPr>
  </w:style>
  <w:style w:type="paragraph" w:styleId="Lista">
    <w:name w:val="List"/>
    <w:basedOn w:val="Corpodetexto"/>
    <w:rsid w:val="00F614FF"/>
    <w:rPr>
      <w:rFonts w:cs="Lucida Sans"/>
    </w:rPr>
  </w:style>
  <w:style w:type="paragraph" w:styleId="Legenda">
    <w:name w:val="caption"/>
    <w:basedOn w:val="Normal"/>
    <w:qFormat/>
    <w:rsid w:val="00F614FF"/>
    <w:pPr>
      <w:suppressLineNumbers/>
      <w:spacing w:before="120" w:after="120"/>
    </w:pPr>
    <w:rPr>
      <w:rFonts w:cs="Lucida Sans"/>
      <w:i/>
      <w:iCs/>
    </w:rPr>
  </w:style>
  <w:style w:type="paragraph" w:customStyle="1" w:styleId="ndice">
    <w:name w:val="Índice"/>
    <w:basedOn w:val="Normal"/>
    <w:qFormat/>
    <w:rsid w:val="00F614FF"/>
    <w:pPr>
      <w:suppressLineNumbers/>
    </w:pPr>
    <w:rPr>
      <w:rFonts w:cs="Lucida Sans"/>
    </w:rPr>
  </w:style>
  <w:style w:type="paragraph" w:customStyle="1" w:styleId="CabealhoeRodap">
    <w:name w:val="Cabeçalho e Rodapé"/>
    <w:basedOn w:val="Normal"/>
    <w:qFormat/>
    <w:rsid w:val="00F614FF"/>
  </w:style>
  <w:style w:type="paragraph" w:styleId="Cabealho">
    <w:name w:val="header"/>
    <w:basedOn w:val="Normal"/>
    <w:link w:val="CabealhoChar"/>
    <w:uiPriority w:val="99"/>
    <w:rsid w:val="00215C01"/>
    <w:pPr>
      <w:tabs>
        <w:tab w:val="center" w:pos="4252"/>
        <w:tab w:val="right" w:pos="8504"/>
      </w:tabs>
    </w:pPr>
  </w:style>
  <w:style w:type="paragraph" w:styleId="Rodap">
    <w:name w:val="footer"/>
    <w:basedOn w:val="Normal"/>
    <w:link w:val="RodapChar"/>
    <w:uiPriority w:val="99"/>
    <w:rsid w:val="00215C01"/>
    <w:pPr>
      <w:tabs>
        <w:tab w:val="center" w:pos="4252"/>
        <w:tab w:val="right" w:pos="8504"/>
      </w:tabs>
    </w:pPr>
  </w:style>
  <w:style w:type="paragraph" w:customStyle="1" w:styleId="Contedodatabela">
    <w:name w:val="Conteúdo da tabela"/>
    <w:basedOn w:val="Normal"/>
    <w:qFormat/>
    <w:rsid w:val="00481852"/>
    <w:pPr>
      <w:widowControl w:val="0"/>
      <w:suppressLineNumbers/>
      <w:suppressAutoHyphens/>
    </w:pPr>
    <w:rPr>
      <w:kern w:val="2"/>
    </w:rPr>
  </w:style>
  <w:style w:type="paragraph" w:styleId="Textodebalo">
    <w:name w:val="Balloon Text"/>
    <w:basedOn w:val="Normal"/>
    <w:link w:val="TextodebaloChar"/>
    <w:uiPriority w:val="99"/>
    <w:qFormat/>
    <w:rsid w:val="00516DAD"/>
    <w:rPr>
      <w:rFonts w:ascii="Tahoma" w:hAnsi="Tahoma"/>
      <w:sz w:val="16"/>
      <w:szCs w:val="16"/>
    </w:rPr>
  </w:style>
  <w:style w:type="paragraph" w:styleId="PargrafodaLista">
    <w:name w:val="List Paragraph"/>
    <w:basedOn w:val="Normal"/>
    <w:uiPriority w:val="34"/>
    <w:qFormat/>
    <w:rsid w:val="00CC6BBA"/>
    <w:pPr>
      <w:ind w:left="720"/>
      <w:contextualSpacing/>
    </w:pPr>
  </w:style>
  <w:style w:type="paragraph" w:styleId="Corpodetexto2">
    <w:name w:val="Body Text 2"/>
    <w:basedOn w:val="Normal"/>
    <w:link w:val="Corpodetexto2Char"/>
    <w:semiHidden/>
    <w:qFormat/>
    <w:rsid w:val="00686C80"/>
    <w:pPr>
      <w:suppressAutoHyphens/>
    </w:pPr>
    <w:rPr>
      <w:rFonts w:ascii="Times New Roman" w:hAnsi="Times New Roman"/>
      <w:szCs w:val="20"/>
      <w:lang w:eastAsia="ar-SA"/>
    </w:rPr>
  </w:style>
  <w:style w:type="paragraph" w:styleId="Textodecomentrio">
    <w:name w:val="annotation text"/>
    <w:basedOn w:val="Normal"/>
    <w:link w:val="TextodecomentrioChar"/>
    <w:uiPriority w:val="99"/>
    <w:semiHidden/>
    <w:unhideWhenUsed/>
    <w:qFormat/>
    <w:rsid w:val="00A1341C"/>
    <w:rPr>
      <w:sz w:val="20"/>
      <w:szCs w:val="20"/>
    </w:rPr>
  </w:style>
  <w:style w:type="paragraph" w:styleId="Assuntodocomentrio">
    <w:name w:val="annotation subject"/>
    <w:basedOn w:val="Textodecomentrio"/>
    <w:next w:val="Textodecomentrio"/>
    <w:link w:val="AssuntodocomentrioChar"/>
    <w:uiPriority w:val="99"/>
    <w:semiHidden/>
    <w:unhideWhenUsed/>
    <w:qFormat/>
    <w:rsid w:val="00A1341C"/>
    <w:rPr>
      <w:b/>
      <w:bCs/>
    </w:rPr>
  </w:style>
  <w:style w:type="paragraph" w:styleId="Recuodecorpodetexto">
    <w:name w:val="Body Text Indent"/>
    <w:basedOn w:val="Normal"/>
    <w:link w:val="RecuodecorpodetextoChar"/>
    <w:uiPriority w:val="99"/>
    <w:semiHidden/>
    <w:unhideWhenUsed/>
    <w:rsid w:val="008F1801"/>
    <w:pPr>
      <w:spacing w:after="120"/>
      <w:ind w:left="283"/>
    </w:pPr>
  </w:style>
  <w:style w:type="paragraph" w:customStyle="1" w:styleId="Contedodoquadro">
    <w:name w:val="Conteúdo do quadro"/>
    <w:basedOn w:val="Normal"/>
    <w:qFormat/>
    <w:rsid w:val="00F614FF"/>
  </w:style>
  <w:style w:type="table" w:styleId="Tabelacomgrade">
    <w:name w:val="Table Grid"/>
    <w:basedOn w:val="Tabelanormal"/>
    <w:uiPriority w:val="99"/>
    <w:rsid w:val="00215C01"/>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do">
    <w:name w:val="Conteúdo"/>
    <w:basedOn w:val="Normal"/>
    <w:link w:val="CaracteresdoContedo"/>
    <w:qFormat/>
    <w:rsid w:val="00037EB4"/>
    <w:pPr>
      <w:spacing w:line="276" w:lineRule="auto"/>
      <w:jc w:val="left"/>
    </w:pPr>
    <w:rPr>
      <w:rFonts w:ascii="Calibri" w:eastAsia="MS Mincho" w:hAnsi="Calibri"/>
      <w:color w:val="082A75"/>
      <w:sz w:val="28"/>
      <w:szCs w:val="22"/>
      <w:lang w:val="pt-PT" w:eastAsia="en-US"/>
    </w:rPr>
  </w:style>
  <w:style w:type="character" w:customStyle="1" w:styleId="CaracteresdoContedo">
    <w:name w:val="Caracteres do Conteúdo"/>
    <w:link w:val="Contedo"/>
    <w:rsid w:val="00037EB4"/>
    <w:rPr>
      <w:rFonts w:ascii="Calibri" w:eastAsia="MS Mincho" w:hAnsi="Calibri"/>
      <w:color w:val="082A75"/>
      <w:sz w:val="28"/>
      <w:lang w:val="pt-PT" w:eastAsia="en-US"/>
    </w:rPr>
  </w:style>
  <w:style w:type="paragraph" w:customStyle="1" w:styleId="Textbody">
    <w:name w:val="Text body"/>
    <w:basedOn w:val="Normal"/>
    <w:qFormat/>
    <w:rsid w:val="0061050D"/>
    <w:pPr>
      <w:widowControl w:val="0"/>
      <w:suppressAutoHyphens/>
      <w:autoSpaceDN w:val="0"/>
      <w:spacing w:after="120"/>
      <w:jc w:val="left"/>
      <w:textAlignment w:val="baseline"/>
    </w:pPr>
    <w:rPr>
      <w:rFonts w:ascii="Times New Roman" w:eastAsia="Arial Unicode MS" w:hAnsi="Times New Roman" w:cs="Tahoma"/>
      <w:kern w:val="3"/>
      <w:lang w:eastAsia="zh-CN"/>
    </w:rPr>
  </w:style>
  <w:style w:type="character" w:customStyle="1" w:styleId="Ttulo2Char">
    <w:name w:val="Título 2 Char"/>
    <w:basedOn w:val="Fontepargpadro"/>
    <w:link w:val="Ttulo2"/>
    <w:uiPriority w:val="4"/>
    <w:rsid w:val="00383752"/>
    <w:rPr>
      <w:rFonts w:ascii="Calibri" w:eastAsia="MS Gothic" w:hAnsi="Calibri"/>
      <w:color w:val="082A75"/>
      <w:sz w:val="36"/>
      <w:szCs w:val="26"/>
      <w:lang w:val="pt-PT" w:eastAsia="en-US"/>
    </w:rPr>
  </w:style>
  <w:style w:type="paragraph" w:styleId="NormalWeb">
    <w:name w:val="Normal (Web)"/>
    <w:basedOn w:val="Normal"/>
    <w:uiPriority w:val="99"/>
    <w:unhideWhenUsed/>
    <w:rsid w:val="00383752"/>
    <w:pPr>
      <w:spacing w:before="100" w:beforeAutospacing="1" w:after="100" w:afterAutospacing="1"/>
      <w:jc w:val="left"/>
    </w:pPr>
    <w:rPr>
      <w:rFonts w:ascii="Times New Roman" w:hAnsi="Times New Roman"/>
    </w:rPr>
  </w:style>
  <w:style w:type="paragraph" w:customStyle="1" w:styleId="corpo">
    <w:name w:val="corpo"/>
    <w:basedOn w:val="Normal"/>
    <w:rsid w:val="005C1AFB"/>
    <w:pPr>
      <w:spacing w:before="100" w:beforeAutospacing="1" w:after="100" w:afterAutospacing="1"/>
      <w:jc w:val="left"/>
    </w:pPr>
    <w:rPr>
      <w:rFonts w:ascii="Times New Roman" w:hAnsi="Times New Roman"/>
    </w:rPr>
  </w:style>
  <w:style w:type="character" w:styleId="Hyperlink">
    <w:name w:val="Hyperlink"/>
    <w:basedOn w:val="Fontepargpadro"/>
    <w:uiPriority w:val="99"/>
    <w:unhideWhenUsed/>
    <w:rsid w:val="005C1AFB"/>
    <w:rPr>
      <w:color w:val="0000FF" w:themeColor="hyperlink"/>
      <w:u w:val="single"/>
    </w:rPr>
  </w:style>
  <w:style w:type="paragraph" w:customStyle="1" w:styleId="dou-paragraph">
    <w:name w:val="dou-paragraph"/>
    <w:basedOn w:val="Normal"/>
    <w:rsid w:val="00BF5311"/>
    <w:pPr>
      <w:spacing w:before="100" w:beforeAutospacing="1" w:after="100" w:afterAutospacing="1"/>
      <w:jc w:val="left"/>
    </w:pPr>
    <w:rPr>
      <w:rFonts w:ascii="Times New Roman" w:hAnsi="Times New Roman"/>
    </w:rPr>
  </w:style>
  <w:style w:type="character" w:customStyle="1" w:styleId="orgao-dou-data">
    <w:name w:val="orgao-dou-data"/>
    <w:basedOn w:val="Fontepargpadro"/>
    <w:rsid w:val="00BF5311"/>
  </w:style>
</w:styles>
</file>

<file path=word/webSettings.xml><?xml version="1.0" encoding="utf-8"?>
<w:webSettings xmlns:r="http://schemas.openxmlformats.org/officeDocument/2006/relationships" xmlns:w="http://schemas.openxmlformats.org/wordprocessingml/2006/main">
  <w:divs>
    <w:div w:id="117377163">
      <w:bodyDiv w:val="1"/>
      <w:marLeft w:val="0"/>
      <w:marRight w:val="0"/>
      <w:marTop w:val="0"/>
      <w:marBottom w:val="0"/>
      <w:divBdr>
        <w:top w:val="none" w:sz="0" w:space="0" w:color="auto"/>
        <w:left w:val="none" w:sz="0" w:space="0" w:color="auto"/>
        <w:bottom w:val="none" w:sz="0" w:space="0" w:color="auto"/>
        <w:right w:val="none" w:sz="0" w:space="0" w:color="auto"/>
      </w:divBdr>
    </w:div>
    <w:div w:id="530186488">
      <w:bodyDiv w:val="1"/>
      <w:marLeft w:val="0"/>
      <w:marRight w:val="0"/>
      <w:marTop w:val="0"/>
      <w:marBottom w:val="0"/>
      <w:divBdr>
        <w:top w:val="none" w:sz="0" w:space="0" w:color="auto"/>
        <w:left w:val="none" w:sz="0" w:space="0" w:color="auto"/>
        <w:bottom w:val="none" w:sz="0" w:space="0" w:color="auto"/>
        <w:right w:val="none" w:sz="0" w:space="0" w:color="auto"/>
      </w:divBdr>
    </w:div>
    <w:div w:id="829751418">
      <w:bodyDiv w:val="1"/>
      <w:marLeft w:val="0"/>
      <w:marRight w:val="0"/>
      <w:marTop w:val="0"/>
      <w:marBottom w:val="0"/>
      <w:divBdr>
        <w:top w:val="none" w:sz="0" w:space="0" w:color="auto"/>
        <w:left w:val="none" w:sz="0" w:space="0" w:color="auto"/>
        <w:bottom w:val="none" w:sz="0" w:space="0" w:color="auto"/>
        <w:right w:val="none" w:sz="0" w:space="0" w:color="auto"/>
      </w:divBdr>
    </w:div>
    <w:div w:id="883179282">
      <w:bodyDiv w:val="1"/>
      <w:marLeft w:val="0"/>
      <w:marRight w:val="0"/>
      <w:marTop w:val="0"/>
      <w:marBottom w:val="0"/>
      <w:divBdr>
        <w:top w:val="none" w:sz="0" w:space="0" w:color="auto"/>
        <w:left w:val="none" w:sz="0" w:space="0" w:color="auto"/>
        <w:bottom w:val="none" w:sz="0" w:space="0" w:color="auto"/>
        <w:right w:val="none" w:sz="0" w:space="0" w:color="auto"/>
      </w:divBdr>
    </w:div>
    <w:div w:id="1026978263">
      <w:bodyDiv w:val="1"/>
      <w:marLeft w:val="0"/>
      <w:marRight w:val="0"/>
      <w:marTop w:val="0"/>
      <w:marBottom w:val="0"/>
      <w:divBdr>
        <w:top w:val="none" w:sz="0" w:space="0" w:color="auto"/>
        <w:left w:val="none" w:sz="0" w:space="0" w:color="auto"/>
        <w:bottom w:val="none" w:sz="0" w:space="0" w:color="auto"/>
        <w:right w:val="none" w:sz="0" w:space="0" w:color="auto"/>
      </w:divBdr>
    </w:div>
    <w:div w:id="1588415605">
      <w:bodyDiv w:val="1"/>
      <w:marLeft w:val="0"/>
      <w:marRight w:val="0"/>
      <w:marTop w:val="0"/>
      <w:marBottom w:val="0"/>
      <w:divBdr>
        <w:top w:val="none" w:sz="0" w:space="0" w:color="auto"/>
        <w:left w:val="none" w:sz="0" w:space="0" w:color="auto"/>
        <w:bottom w:val="none" w:sz="0" w:space="0" w:color="auto"/>
        <w:right w:val="none" w:sz="0" w:space="0" w:color="auto"/>
      </w:divBdr>
    </w:div>
    <w:div w:id="1951007954">
      <w:bodyDiv w:val="1"/>
      <w:marLeft w:val="0"/>
      <w:marRight w:val="0"/>
      <w:marTop w:val="0"/>
      <w:marBottom w:val="0"/>
      <w:divBdr>
        <w:top w:val="none" w:sz="0" w:space="0" w:color="auto"/>
        <w:left w:val="none" w:sz="0" w:space="0" w:color="auto"/>
        <w:bottom w:val="none" w:sz="0" w:space="0" w:color="auto"/>
        <w:right w:val="none" w:sz="0" w:space="0" w:color="auto"/>
      </w:divBdr>
    </w:div>
    <w:div w:id="2015062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D25C9-98AE-48AE-929B-531DB9B30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4163</Words>
  <Characters>22485</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Nota Técnica no: xxx/2009</vt:lpstr>
    </vt:vector>
  </TitlesOfParts>
  <Company>Hewlett-Packard Company</Company>
  <LinksUpToDate>false</LinksUpToDate>
  <CharactersWithSpaces>26595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Técnica no: xxx/2009</dc:title>
  <dc:creator>CODEVASF</dc:creator>
  <cp:lastModifiedBy>ana.maiara</cp:lastModifiedBy>
  <cp:revision>2</cp:revision>
  <cp:lastPrinted>2020-10-07T18:24:00Z</cp:lastPrinted>
  <dcterms:created xsi:type="dcterms:W3CDTF">2023-03-21T13:28:00Z</dcterms:created>
  <dcterms:modified xsi:type="dcterms:W3CDTF">2023-03-21T13:28:00Z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