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eastAsiaTheme="majorEastAsia" w:hAnsi="Arial" w:cs="Arial"/>
          <w:caps/>
          <w:color w:val="000000" w:themeColor="text1"/>
          <w:sz w:val="24"/>
          <w:szCs w:val="24"/>
        </w:rPr>
        <w:id w:val="267112235"/>
      </w:sdtPr>
      <w:sdtEndPr>
        <w:rPr>
          <w:rFonts w:eastAsiaTheme="minorHAnsi"/>
          <w:b/>
          <w:caps w:val="0"/>
        </w:rPr>
      </w:sdtEndPr>
      <w:sdtContent>
        <w:tbl>
          <w:tblPr>
            <w:tblW w:w="9855" w:type="dxa"/>
            <w:jc w:val="center"/>
            <w:tblLayout w:type="fixed"/>
            <w:tblLook w:val="04A0" w:firstRow="1" w:lastRow="0" w:firstColumn="1" w:lastColumn="0" w:noHBand="0" w:noVBand="1"/>
          </w:tblPr>
          <w:tblGrid>
            <w:gridCol w:w="9855"/>
          </w:tblGrid>
          <w:tr w:rsidR="00D93872" w14:paraId="601F7FFD" w14:textId="77777777">
            <w:trPr>
              <w:trHeight w:val="2880"/>
              <w:jc w:val="center"/>
            </w:trPr>
            <w:tc>
              <w:tcPr>
                <w:tcW w:w="9855" w:type="dxa"/>
              </w:tcPr>
              <w:p w14:paraId="028B2F7A" w14:textId="77777777" w:rsidR="00D93872" w:rsidRDefault="00D93872">
                <w:pPr>
                  <w:pStyle w:val="SemEspaamento"/>
                  <w:jc w:val="center"/>
                  <w:rPr>
                    <w:rFonts w:ascii="Arial" w:eastAsiaTheme="majorEastAsia" w:hAnsi="Arial" w:cs="Arial"/>
                    <w:caps/>
                    <w:color w:val="000000" w:themeColor="text1"/>
                    <w:sz w:val="24"/>
                    <w:szCs w:val="24"/>
                  </w:rPr>
                </w:pPr>
              </w:p>
              <w:p w14:paraId="30A90B33" w14:textId="77777777" w:rsidR="00D93872" w:rsidRDefault="00D93872">
                <w:pPr>
                  <w:pStyle w:val="SemEspaamento"/>
                  <w:jc w:val="center"/>
                  <w:rPr>
                    <w:rFonts w:ascii="Arial" w:eastAsiaTheme="majorEastAsia" w:hAnsi="Arial" w:cs="Arial"/>
                    <w:caps/>
                    <w:color w:val="000000" w:themeColor="text1"/>
                    <w:sz w:val="24"/>
                    <w:szCs w:val="24"/>
                  </w:rPr>
                </w:pPr>
              </w:p>
            </w:tc>
          </w:tr>
          <w:tr w:rsidR="00D93872" w14:paraId="04515427" w14:textId="77777777">
            <w:trPr>
              <w:trHeight w:val="1440"/>
              <w:jc w:val="center"/>
            </w:trPr>
            <w:sdt>
              <w:sdtPr>
                <w:rPr>
                  <w:rFonts w:ascii="Arial" w:hAnsi="Arial" w:cs="Arial"/>
                  <w:b/>
                  <w:bCs/>
                  <w:color w:val="000000" w:themeColor="text1"/>
                  <w:sz w:val="24"/>
                  <w:szCs w:val="24"/>
                </w:rPr>
                <w:alias w:val="Título"/>
                <w:id w:val="15524250"/>
                <w:dataBinding w:prefixMappings="xmlns:ns0='http://schemas.openxmlformats.org/package/2006/metadata/core-properties' xmlns:ns1='http://purl.org/dc/elements/1.1/'" w:xpath="/ns0:coreProperties[1]/ns1:title[1]" w:storeItemID="{6C3C8BC8-F283-45AE-878A-BAB7291924A1}"/>
                <w:text/>
              </w:sdtPr>
              <w:sdtEndPr/>
              <w:sdtContent>
                <w:tc>
                  <w:tcPr>
                    <w:tcW w:w="9855" w:type="dxa"/>
                    <w:tcBorders>
                      <w:bottom w:val="single" w:sz="4" w:space="0" w:color="4F81BD" w:themeColor="accent1"/>
                    </w:tcBorders>
                    <w:vAlign w:val="center"/>
                  </w:tcPr>
                  <w:p w14:paraId="337E034C" w14:textId="77777777" w:rsidR="00D93872" w:rsidRDefault="00504F29">
                    <w:pPr>
                      <w:pStyle w:val="SemEspaamento"/>
                      <w:jc w:val="center"/>
                      <w:rPr>
                        <w:rFonts w:ascii="Arial" w:eastAsiaTheme="majorEastAsia" w:hAnsi="Arial" w:cs="Arial"/>
                        <w:color w:val="000000" w:themeColor="text1"/>
                        <w:sz w:val="24"/>
                        <w:szCs w:val="24"/>
                      </w:rPr>
                    </w:pPr>
                    <w:r>
                      <w:rPr>
                        <w:rFonts w:ascii="Arial" w:hAnsi="Arial" w:cs="Arial"/>
                        <w:b/>
                        <w:bCs/>
                        <w:color w:val="000000" w:themeColor="text1"/>
                        <w:sz w:val="24"/>
                        <w:szCs w:val="24"/>
                      </w:rPr>
                      <w:t>ESTUDO TÉCNICO PRELIMINAR – ETP</w:t>
                    </w:r>
                  </w:p>
                </w:tc>
              </w:sdtContent>
            </w:sdt>
          </w:tr>
          <w:tr w:rsidR="00D93872" w14:paraId="16BAA6EE" w14:textId="77777777">
            <w:trPr>
              <w:trHeight w:val="720"/>
              <w:jc w:val="center"/>
            </w:trPr>
            <w:tc>
              <w:tcPr>
                <w:tcW w:w="9855" w:type="dxa"/>
                <w:tcBorders>
                  <w:top w:val="single" w:sz="4" w:space="0" w:color="4F81BD" w:themeColor="accent1"/>
                </w:tcBorders>
                <w:vAlign w:val="center"/>
              </w:tcPr>
              <w:p w14:paraId="3F1611F8" w14:textId="77777777" w:rsidR="00D93872" w:rsidRDefault="00D93872">
                <w:pPr>
                  <w:pStyle w:val="SemEspaamento"/>
                  <w:jc w:val="center"/>
                  <w:rPr>
                    <w:rFonts w:ascii="Arial" w:eastAsiaTheme="majorEastAsia" w:hAnsi="Arial" w:cs="Arial"/>
                    <w:color w:val="000000" w:themeColor="text1"/>
                    <w:sz w:val="24"/>
                    <w:szCs w:val="24"/>
                  </w:rPr>
                </w:pPr>
              </w:p>
              <w:p w14:paraId="4CBC1A9B" w14:textId="77777777" w:rsidR="00D93872" w:rsidRDefault="00504F29">
                <w:pPr>
                  <w:pStyle w:val="Default"/>
                  <w:jc w:val="both"/>
                  <w:rPr>
                    <w:rFonts w:ascii="Arial" w:hAnsi="Arial"/>
                    <w:b/>
                    <w:bCs/>
                    <w:color w:val="000000" w:themeColor="text1"/>
                  </w:rPr>
                </w:pPr>
                <w:r>
                  <w:rPr>
                    <w:rFonts w:ascii="Arial" w:hAnsi="Arial"/>
                    <w:b/>
                    <w:bCs/>
                    <w:color w:val="000000" w:themeColor="text1"/>
                  </w:rPr>
                  <w:t>CONTRATAÇÃO DE EMPRESA PARA 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p w14:paraId="67557908" w14:textId="77777777" w:rsidR="00D93872" w:rsidRDefault="00D93872">
                <w:pPr>
                  <w:pStyle w:val="Default"/>
                  <w:jc w:val="both"/>
                  <w:rPr>
                    <w:rFonts w:ascii="Arial" w:hAnsi="Arial" w:cs="Arial"/>
                    <w:b/>
                    <w:bCs/>
                    <w:color w:val="000000" w:themeColor="text1"/>
                  </w:rPr>
                </w:pPr>
              </w:p>
              <w:p w14:paraId="5511281C" w14:textId="77777777" w:rsidR="00D93872" w:rsidRDefault="00D93872">
                <w:pPr>
                  <w:pStyle w:val="SemEspaamento"/>
                  <w:jc w:val="center"/>
                  <w:rPr>
                    <w:rFonts w:ascii="Arial" w:eastAsiaTheme="majorEastAsia" w:hAnsi="Arial" w:cs="Arial"/>
                    <w:color w:val="000000" w:themeColor="text1"/>
                    <w:sz w:val="24"/>
                    <w:szCs w:val="24"/>
                  </w:rPr>
                </w:pPr>
              </w:p>
              <w:p w14:paraId="0E3C8BD9" w14:textId="77777777" w:rsidR="00D93872" w:rsidRDefault="00D93872">
                <w:pPr>
                  <w:pStyle w:val="SemEspaamento"/>
                  <w:jc w:val="center"/>
                  <w:rPr>
                    <w:rFonts w:ascii="Arial" w:eastAsiaTheme="majorEastAsia" w:hAnsi="Arial" w:cs="Arial"/>
                    <w:color w:val="000000" w:themeColor="text1"/>
                    <w:sz w:val="24"/>
                    <w:szCs w:val="24"/>
                  </w:rPr>
                </w:pPr>
              </w:p>
              <w:p w14:paraId="43CDB6DC" w14:textId="77777777" w:rsidR="00D93872" w:rsidRDefault="00D93872">
                <w:pPr>
                  <w:pStyle w:val="SemEspaamento"/>
                  <w:jc w:val="center"/>
                  <w:rPr>
                    <w:rFonts w:ascii="Arial" w:eastAsiaTheme="majorEastAsia" w:hAnsi="Arial" w:cs="Arial"/>
                    <w:color w:val="000000" w:themeColor="text1"/>
                    <w:sz w:val="24"/>
                    <w:szCs w:val="24"/>
                  </w:rPr>
                </w:pPr>
              </w:p>
              <w:p w14:paraId="45ECE426" w14:textId="77777777" w:rsidR="00D93872" w:rsidRDefault="00D93872">
                <w:pPr>
                  <w:pStyle w:val="SemEspaamento"/>
                  <w:jc w:val="center"/>
                  <w:rPr>
                    <w:rFonts w:ascii="Arial" w:eastAsiaTheme="majorEastAsia" w:hAnsi="Arial" w:cs="Arial"/>
                    <w:color w:val="000000" w:themeColor="text1"/>
                    <w:sz w:val="24"/>
                    <w:szCs w:val="24"/>
                  </w:rPr>
                </w:pPr>
              </w:p>
              <w:p w14:paraId="2BF9518F" w14:textId="77777777" w:rsidR="00D93872" w:rsidRDefault="00D93872">
                <w:pPr>
                  <w:pStyle w:val="SemEspaamento"/>
                  <w:jc w:val="center"/>
                  <w:rPr>
                    <w:rFonts w:ascii="Arial" w:eastAsiaTheme="majorEastAsia" w:hAnsi="Arial" w:cs="Arial"/>
                    <w:color w:val="000000" w:themeColor="text1"/>
                    <w:sz w:val="24"/>
                    <w:szCs w:val="24"/>
                  </w:rPr>
                </w:pPr>
              </w:p>
            </w:tc>
          </w:tr>
          <w:tr w:rsidR="00D93872" w14:paraId="5D330C5B" w14:textId="77777777">
            <w:trPr>
              <w:trHeight w:val="360"/>
              <w:jc w:val="center"/>
            </w:trPr>
            <w:tc>
              <w:tcPr>
                <w:tcW w:w="9855" w:type="dxa"/>
                <w:vAlign w:val="center"/>
              </w:tcPr>
              <w:p w14:paraId="11A2B2FC" w14:textId="77777777" w:rsidR="00D93872" w:rsidRDefault="00D93872">
                <w:pPr>
                  <w:pStyle w:val="SemEspaamento"/>
                  <w:jc w:val="center"/>
                  <w:rPr>
                    <w:rFonts w:ascii="Arial" w:hAnsi="Arial" w:cs="Arial"/>
                    <w:color w:val="000000" w:themeColor="text1"/>
                    <w:sz w:val="24"/>
                    <w:szCs w:val="24"/>
                  </w:rPr>
                </w:pPr>
              </w:p>
              <w:p w14:paraId="29B91BB4" w14:textId="77777777" w:rsidR="00D93872" w:rsidRDefault="00D93872">
                <w:pPr>
                  <w:pStyle w:val="SemEspaamento"/>
                  <w:jc w:val="center"/>
                  <w:rPr>
                    <w:rFonts w:ascii="Arial" w:hAnsi="Arial" w:cs="Arial"/>
                    <w:color w:val="000000" w:themeColor="text1"/>
                    <w:sz w:val="24"/>
                    <w:szCs w:val="24"/>
                  </w:rPr>
                </w:pPr>
              </w:p>
              <w:p w14:paraId="3D689E09" w14:textId="77777777" w:rsidR="00D93872" w:rsidRDefault="00D93872">
                <w:pPr>
                  <w:pStyle w:val="SemEspaamento"/>
                  <w:jc w:val="center"/>
                  <w:rPr>
                    <w:rFonts w:ascii="Arial" w:hAnsi="Arial" w:cs="Arial"/>
                    <w:color w:val="000000" w:themeColor="text1"/>
                    <w:sz w:val="24"/>
                    <w:szCs w:val="24"/>
                  </w:rPr>
                </w:pPr>
              </w:p>
              <w:p w14:paraId="71838A58" w14:textId="77777777" w:rsidR="00D93872" w:rsidRDefault="00D93872">
                <w:pPr>
                  <w:pStyle w:val="SemEspaamento"/>
                  <w:jc w:val="center"/>
                  <w:rPr>
                    <w:rFonts w:ascii="Arial" w:hAnsi="Arial" w:cs="Arial"/>
                    <w:color w:val="000000" w:themeColor="text1"/>
                    <w:sz w:val="24"/>
                    <w:szCs w:val="24"/>
                  </w:rPr>
                </w:pPr>
              </w:p>
              <w:p w14:paraId="5E5F5252" w14:textId="77777777" w:rsidR="00D93872" w:rsidRDefault="00D93872">
                <w:pPr>
                  <w:pStyle w:val="SemEspaamento"/>
                  <w:jc w:val="center"/>
                  <w:rPr>
                    <w:rFonts w:ascii="Arial" w:hAnsi="Arial" w:cs="Arial"/>
                    <w:color w:val="000000" w:themeColor="text1"/>
                    <w:sz w:val="24"/>
                    <w:szCs w:val="24"/>
                  </w:rPr>
                </w:pPr>
              </w:p>
              <w:p w14:paraId="09E5F37A" w14:textId="77777777" w:rsidR="00D93872" w:rsidRDefault="00D93872">
                <w:pPr>
                  <w:pStyle w:val="SemEspaamento"/>
                  <w:jc w:val="center"/>
                  <w:rPr>
                    <w:rFonts w:ascii="Arial" w:hAnsi="Arial" w:cs="Arial"/>
                    <w:color w:val="000000" w:themeColor="text1"/>
                    <w:sz w:val="24"/>
                    <w:szCs w:val="24"/>
                  </w:rPr>
                </w:pPr>
              </w:p>
              <w:p w14:paraId="55BA4112" w14:textId="77777777" w:rsidR="00D93872" w:rsidRDefault="00D93872">
                <w:pPr>
                  <w:pStyle w:val="SemEspaamento"/>
                  <w:jc w:val="center"/>
                  <w:rPr>
                    <w:rFonts w:ascii="Arial" w:hAnsi="Arial" w:cs="Arial"/>
                    <w:color w:val="000000" w:themeColor="text1"/>
                    <w:sz w:val="24"/>
                    <w:szCs w:val="24"/>
                  </w:rPr>
                </w:pPr>
              </w:p>
              <w:p w14:paraId="655F40C1" w14:textId="77777777" w:rsidR="00D93872" w:rsidRDefault="00D93872">
                <w:pPr>
                  <w:pStyle w:val="SemEspaamento"/>
                  <w:jc w:val="center"/>
                  <w:rPr>
                    <w:rFonts w:ascii="Arial" w:hAnsi="Arial" w:cs="Arial"/>
                    <w:color w:val="000000" w:themeColor="text1"/>
                    <w:sz w:val="24"/>
                    <w:szCs w:val="24"/>
                  </w:rPr>
                </w:pPr>
              </w:p>
              <w:p w14:paraId="12441790" w14:textId="77777777" w:rsidR="00D93872" w:rsidRDefault="00D93872">
                <w:pPr>
                  <w:pStyle w:val="SemEspaamento"/>
                  <w:jc w:val="center"/>
                  <w:rPr>
                    <w:rFonts w:ascii="Arial" w:hAnsi="Arial" w:cs="Arial"/>
                    <w:color w:val="000000" w:themeColor="text1"/>
                    <w:sz w:val="24"/>
                    <w:szCs w:val="24"/>
                  </w:rPr>
                </w:pPr>
              </w:p>
              <w:p w14:paraId="5948B4EB" w14:textId="77777777" w:rsidR="00D93872" w:rsidRDefault="00D93872">
                <w:pPr>
                  <w:pStyle w:val="SemEspaamento"/>
                  <w:jc w:val="center"/>
                  <w:rPr>
                    <w:rFonts w:ascii="Arial" w:hAnsi="Arial" w:cs="Arial"/>
                    <w:color w:val="000000" w:themeColor="text1"/>
                    <w:sz w:val="24"/>
                    <w:szCs w:val="24"/>
                  </w:rPr>
                </w:pPr>
              </w:p>
              <w:p w14:paraId="555191C2" w14:textId="77777777" w:rsidR="00D93872" w:rsidRDefault="00D93872">
                <w:pPr>
                  <w:pStyle w:val="SemEspaamento"/>
                  <w:jc w:val="center"/>
                  <w:rPr>
                    <w:rFonts w:ascii="Arial" w:hAnsi="Arial" w:cs="Arial"/>
                    <w:color w:val="000000" w:themeColor="text1"/>
                    <w:sz w:val="24"/>
                    <w:szCs w:val="24"/>
                  </w:rPr>
                </w:pPr>
              </w:p>
              <w:p w14:paraId="35519904" w14:textId="77777777" w:rsidR="00D93872" w:rsidRDefault="00D93872">
                <w:pPr>
                  <w:pStyle w:val="SemEspaamento"/>
                  <w:jc w:val="center"/>
                  <w:rPr>
                    <w:rFonts w:ascii="Arial" w:hAnsi="Arial" w:cs="Arial"/>
                    <w:color w:val="000000" w:themeColor="text1"/>
                    <w:sz w:val="24"/>
                    <w:szCs w:val="24"/>
                  </w:rPr>
                </w:pPr>
              </w:p>
              <w:p w14:paraId="16680A9E" w14:textId="77777777" w:rsidR="00D93872" w:rsidRDefault="00D93872">
                <w:pPr>
                  <w:pStyle w:val="SemEspaamento"/>
                  <w:jc w:val="center"/>
                  <w:rPr>
                    <w:rFonts w:ascii="Arial" w:hAnsi="Arial" w:cs="Arial"/>
                    <w:color w:val="000000" w:themeColor="text1"/>
                    <w:sz w:val="24"/>
                    <w:szCs w:val="24"/>
                  </w:rPr>
                </w:pPr>
              </w:p>
              <w:p w14:paraId="306C12E9" w14:textId="77777777" w:rsidR="00D93872" w:rsidRDefault="00D93872">
                <w:pPr>
                  <w:pStyle w:val="SemEspaamento"/>
                  <w:jc w:val="center"/>
                  <w:rPr>
                    <w:rFonts w:ascii="Arial" w:hAnsi="Arial" w:cs="Arial"/>
                    <w:color w:val="000000" w:themeColor="text1"/>
                    <w:sz w:val="24"/>
                    <w:szCs w:val="24"/>
                  </w:rPr>
                </w:pPr>
              </w:p>
              <w:p w14:paraId="3D1E415F" w14:textId="77777777" w:rsidR="00D93872" w:rsidRDefault="00D93872">
                <w:pPr>
                  <w:pStyle w:val="SemEspaamento"/>
                  <w:jc w:val="center"/>
                  <w:rPr>
                    <w:rFonts w:ascii="Arial" w:hAnsi="Arial" w:cs="Arial"/>
                    <w:color w:val="000000" w:themeColor="text1"/>
                    <w:sz w:val="24"/>
                    <w:szCs w:val="24"/>
                  </w:rPr>
                </w:pPr>
              </w:p>
              <w:p w14:paraId="4CBEB35A" w14:textId="77777777" w:rsidR="00D93872" w:rsidRDefault="00D93872">
                <w:pPr>
                  <w:pStyle w:val="SemEspaamento"/>
                  <w:jc w:val="center"/>
                  <w:rPr>
                    <w:rFonts w:ascii="Arial" w:hAnsi="Arial" w:cs="Arial"/>
                    <w:color w:val="000000" w:themeColor="text1"/>
                    <w:sz w:val="24"/>
                    <w:szCs w:val="24"/>
                  </w:rPr>
                </w:pPr>
              </w:p>
              <w:p w14:paraId="4AF3555E" w14:textId="77777777" w:rsidR="00D93872" w:rsidRDefault="00D93872">
                <w:pPr>
                  <w:pStyle w:val="SemEspaamento"/>
                  <w:jc w:val="center"/>
                  <w:rPr>
                    <w:rFonts w:ascii="Arial" w:hAnsi="Arial" w:cs="Arial"/>
                    <w:color w:val="000000" w:themeColor="text1"/>
                    <w:sz w:val="24"/>
                    <w:szCs w:val="24"/>
                  </w:rPr>
                </w:pPr>
              </w:p>
              <w:p w14:paraId="741ED089" w14:textId="77777777" w:rsidR="00D93872" w:rsidRDefault="00D93872">
                <w:pPr>
                  <w:pStyle w:val="SemEspaamento"/>
                  <w:jc w:val="center"/>
                  <w:rPr>
                    <w:rFonts w:ascii="Arial" w:hAnsi="Arial" w:cs="Arial"/>
                    <w:color w:val="000000" w:themeColor="text1"/>
                    <w:sz w:val="24"/>
                    <w:szCs w:val="24"/>
                  </w:rPr>
                </w:pPr>
              </w:p>
            </w:tc>
          </w:tr>
          <w:tr w:rsidR="00D93872" w14:paraId="36CA1753" w14:textId="77777777">
            <w:trPr>
              <w:trHeight w:val="360"/>
              <w:jc w:val="center"/>
            </w:trPr>
            <w:tc>
              <w:tcPr>
                <w:tcW w:w="9855" w:type="dxa"/>
                <w:vAlign w:val="center"/>
              </w:tcPr>
              <w:p w14:paraId="0A6DF12E" w14:textId="77777777" w:rsidR="00D93872" w:rsidRDefault="00504F29">
                <w:pPr>
                  <w:pStyle w:val="SemEspaamento"/>
                  <w:jc w:val="center"/>
                  <w:rPr>
                    <w:rFonts w:ascii="Arial" w:hAnsi="Arial" w:cs="Arial"/>
                    <w:b/>
                    <w:bCs/>
                    <w:color w:val="000000" w:themeColor="text1"/>
                    <w:sz w:val="24"/>
                    <w:szCs w:val="24"/>
                  </w:rPr>
                </w:pPr>
                <w:r>
                  <w:rPr>
                    <w:rFonts w:ascii="Arial" w:hAnsi="Arial" w:cs="Arial"/>
                    <w:b/>
                    <w:bCs/>
                    <w:color w:val="000000" w:themeColor="text1"/>
                    <w:sz w:val="24"/>
                    <w:szCs w:val="24"/>
                  </w:rPr>
                  <w:t>Agosto/2023</w:t>
                </w:r>
              </w:p>
            </w:tc>
          </w:tr>
          <w:tr w:rsidR="00D93872" w14:paraId="15EDA9CB" w14:textId="77777777">
            <w:trPr>
              <w:trHeight w:val="360"/>
              <w:jc w:val="center"/>
            </w:trPr>
            <w:tc>
              <w:tcPr>
                <w:tcW w:w="9855" w:type="dxa"/>
                <w:vAlign w:val="center"/>
              </w:tcPr>
              <w:p w14:paraId="01EDAC0A" w14:textId="77777777" w:rsidR="00D93872" w:rsidRDefault="00D93872">
                <w:pPr>
                  <w:pStyle w:val="SemEspaamento"/>
                  <w:jc w:val="center"/>
                  <w:rPr>
                    <w:rFonts w:ascii="Arial" w:hAnsi="Arial" w:cs="Arial"/>
                    <w:b/>
                    <w:bCs/>
                    <w:color w:val="000000" w:themeColor="text1"/>
                    <w:sz w:val="24"/>
                    <w:szCs w:val="24"/>
                  </w:rPr>
                </w:pPr>
              </w:p>
            </w:tc>
          </w:tr>
        </w:tbl>
        <w:p w14:paraId="59978007" w14:textId="77777777" w:rsidR="00D93872" w:rsidRDefault="00D93872">
          <w:pPr>
            <w:spacing w:line="240" w:lineRule="auto"/>
            <w:rPr>
              <w:rFonts w:ascii="Arial" w:hAnsi="Arial" w:cs="Arial"/>
              <w:color w:val="000000" w:themeColor="text1"/>
              <w:sz w:val="24"/>
              <w:szCs w:val="24"/>
            </w:rPr>
          </w:pPr>
        </w:p>
        <w:tbl>
          <w:tblPr>
            <w:tblpPr w:leftFromText="187" w:rightFromText="187" w:horzAnchor="margin" w:tblpXSpec="center" w:tblpYSpec="bottom"/>
            <w:tblW w:w="9855" w:type="dxa"/>
            <w:tblLayout w:type="fixed"/>
            <w:tblLook w:val="04A0" w:firstRow="1" w:lastRow="0" w:firstColumn="1" w:lastColumn="0" w:noHBand="0" w:noVBand="1"/>
          </w:tblPr>
          <w:tblGrid>
            <w:gridCol w:w="9855"/>
          </w:tblGrid>
          <w:tr w:rsidR="00D93872" w14:paraId="31FBC10C" w14:textId="77777777">
            <w:tc>
              <w:tcPr>
                <w:tcW w:w="9855" w:type="dxa"/>
              </w:tcPr>
              <w:p w14:paraId="24176EA0" w14:textId="77777777" w:rsidR="00D93872" w:rsidRDefault="00D93872">
                <w:pPr>
                  <w:pStyle w:val="SemEspaamento"/>
                  <w:rPr>
                    <w:rFonts w:ascii="Arial" w:hAnsi="Arial" w:cs="Arial"/>
                    <w:color w:val="000000" w:themeColor="text1"/>
                    <w:sz w:val="24"/>
                    <w:szCs w:val="24"/>
                  </w:rPr>
                </w:pPr>
              </w:p>
            </w:tc>
          </w:tr>
        </w:tbl>
        <w:sdt>
          <w:sdtPr>
            <w:rPr>
              <w:rFonts w:ascii="Arial" w:eastAsiaTheme="minorHAnsi" w:hAnsi="Arial" w:cs="Arial"/>
              <w:b w:val="0"/>
              <w:bCs w:val="0"/>
              <w:color w:val="000000" w:themeColor="text1"/>
              <w:sz w:val="24"/>
              <w:szCs w:val="24"/>
            </w:rPr>
            <w:id w:val="808122982"/>
            <w:docPartObj>
              <w:docPartGallery w:val="Table of Contents"/>
              <w:docPartUnique/>
            </w:docPartObj>
          </w:sdtPr>
          <w:sdtEndPr/>
          <w:sdtContent>
            <w:p w14:paraId="2229C9CB" w14:textId="77777777" w:rsidR="00D93872" w:rsidRDefault="00504F29">
              <w:pPr>
                <w:pStyle w:val="CabealhodoSumrio1"/>
                <w:spacing w:line="240" w:lineRule="auto"/>
                <w:rPr>
                  <w:rFonts w:ascii="Arial" w:hAnsi="Arial" w:cs="Arial"/>
                  <w:color w:val="000000" w:themeColor="text1"/>
                  <w:sz w:val="22"/>
                  <w:szCs w:val="22"/>
                </w:rPr>
              </w:pPr>
              <w:r>
                <w:rPr>
                  <w:rFonts w:ascii="Arial" w:hAnsi="Arial" w:cs="Arial"/>
                  <w:color w:val="000000" w:themeColor="text1"/>
                  <w:sz w:val="22"/>
                  <w:szCs w:val="22"/>
                </w:rPr>
                <w:t>CONTEÚDO</w:t>
              </w:r>
            </w:p>
            <w:p w14:paraId="382F41D2" w14:textId="77777777" w:rsidR="00D93872" w:rsidRDefault="00D93872">
              <w:pPr>
                <w:spacing w:line="240" w:lineRule="auto"/>
                <w:rPr>
                  <w:rFonts w:ascii="Arial" w:hAnsi="Arial" w:cs="Arial"/>
                  <w:color w:val="000000" w:themeColor="text1"/>
                </w:rPr>
              </w:pPr>
            </w:p>
            <w:p w14:paraId="07FCDD4D" w14:textId="115DD04A" w:rsidR="00D93872" w:rsidRDefault="00504F29">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r>
                <w:rPr>
                  <w:rFonts w:ascii="Arial" w:hAnsi="Arial" w:cs="Arial"/>
                  <w:color w:val="000000" w:themeColor="text1"/>
                </w:rPr>
                <w:fldChar w:fldCharType="begin"/>
              </w:r>
              <w:r>
                <w:rPr>
                  <w:rFonts w:ascii="Arial" w:hAnsi="Arial" w:cs="Arial"/>
                  <w:color w:val="000000" w:themeColor="text1"/>
                </w:rPr>
                <w:instrText xml:space="preserve"> TOC \o "1-3" \h \z \u </w:instrText>
              </w:r>
              <w:r>
                <w:rPr>
                  <w:rFonts w:ascii="Arial" w:hAnsi="Arial" w:cs="Arial"/>
                  <w:color w:val="000000" w:themeColor="text1"/>
                </w:rPr>
                <w:fldChar w:fldCharType="separate"/>
              </w:r>
              <w:hyperlink w:anchor="_Toc81472270" w:history="1">
                <w:r>
                  <w:rPr>
                    <w:rStyle w:val="Hyperlink"/>
                    <w:rFonts w:ascii="Arial" w:hAnsi="Arial" w:cs="Arial"/>
                    <w:noProof/>
                    <w:color w:val="000000" w:themeColor="text1"/>
                  </w:rPr>
                  <w:t>1.</w:t>
                </w:r>
                <w:r>
                  <w:rPr>
                    <w:rFonts w:ascii="Arial" w:hAnsi="Arial" w:cs="Arial"/>
                    <w:noProof/>
                    <w:color w:val="000000" w:themeColor="text1"/>
                    <w:lang w:eastAsia="pt-BR"/>
                  </w:rPr>
                  <w:tab/>
                </w:r>
                <w:r>
                  <w:rPr>
                    <w:rStyle w:val="Hyperlink"/>
                    <w:rFonts w:ascii="Arial" w:hAnsi="Arial" w:cs="Arial"/>
                    <w:noProof/>
                    <w:color w:val="000000" w:themeColor="text1"/>
                  </w:rPr>
                  <w:t>ESTUDO TÉCNICO PRELIMINAR</w:t>
                </w:r>
                <w:r>
                  <w:rPr>
                    <w:rFonts w:ascii="Arial" w:hAnsi="Arial" w:cs="Arial"/>
                    <w:noProof/>
                    <w:color w:val="000000" w:themeColor="text1"/>
                  </w:rPr>
                  <w:tab/>
                  <w:t>3</w:t>
                </w:r>
              </w:hyperlink>
            </w:p>
            <w:p w14:paraId="0AC27571" w14:textId="570C5FD4"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1" w:history="1">
                <w:r w:rsidR="00504F29">
                  <w:rPr>
                    <w:rStyle w:val="Hyperlink"/>
                    <w:rFonts w:ascii="Arial" w:hAnsi="Arial" w:cs="Arial"/>
                    <w:noProof/>
                    <w:color w:val="000000" w:themeColor="text1"/>
                  </w:rPr>
                  <w:t>2.</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CONTEXTUALIZAÇÃO</w:t>
                </w:r>
                <w:r w:rsidR="00504F29">
                  <w:rPr>
                    <w:rFonts w:ascii="Arial" w:hAnsi="Arial" w:cs="Arial"/>
                    <w:noProof/>
                    <w:color w:val="000000" w:themeColor="text1"/>
                  </w:rPr>
                  <w:tab/>
                  <w:t>3</w:t>
                </w:r>
              </w:hyperlink>
            </w:p>
            <w:p w14:paraId="612038CE" w14:textId="3AA4E667"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2" w:history="1">
                <w:r w:rsidR="00504F29">
                  <w:rPr>
                    <w:rStyle w:val="Hyperlink"/>
                    <w:rFonts w:ascii="Arial" w:hAnsi="Arial" w:cs="Arial"/>
                    <w:noProof/>
                    <w:color w:val="000000" w:themeColor="text1"/>
                  </w:rPr>
                  <w:t>3.</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DESCRIÇÃO DA NECESSIDADE DA CONTRATAÇÃO</w:t>
                </w:r>
                <w:r w:rsidR="00504F29">
                  <w:rPr>
                    <w:rFonts w:ascii="Arial" w:hAnsi="Arial" w:cs="Arial"/>
                    <w:noProof/>
                    <w:color w:val="000000" w:themeColor="text1"/>
                  </w:rPr>
                  <w:tab/>
                </w:r>
                <w:r w:rsidR="00504F29">
                  <w:rPr>
                    <w:rFonts w:ascii="Arial" w:hAnsi="Arial" w:cs="Arial"/>
                    <w:noProof/>
                    <w:color w:val="000000" w:themeColor="text1"/>
                  </w:rPr>
                  <w:fldChar w:fldCharType="begin"/>
                </w:r>
                <w:r w:rsidR="00504F29">
                  <w:rPr>
                    <w:rFonts w:ascii="Arial" w:hAnsi="Arial" w:cs="Arial"/>
                    <w:noProof/>
                    <w:color w:val="000000" w:themeColor="text1"/>
                  </w:rPr>
                  <w:instrText xml:space="preserve"> PAGEREF _Toc81472272 \h </w:instrText>
                </w:r>
                <w:r w:rsidR="00504F29">
                  <w:rPr>
                    <w:rFonts w:ascii="Arial" w:hAnsi="Arial" w:cs="Arial"/>
                    <w:noProof/>
                    <w:color w:val="000000" w:themeColor="text1"/>
                  </w:rPr>
                </w:r>
                <w:r w:rsidR="00504F29">
                  <w:rPr>
                    <w:rFonts w:ascii="Arial" w:hAnsi="Arial" w:cs="Arial"/>
                    <w:noProof/>
                    <w:color w:val="000000" w:themeColor="text1"/>
                  </w:rPr>
                  <w:fldChar w:fldCharType="separate"/>
                </w:r>
                <w:r w:rsidR="00504F29">
                  <w:rPr>
                    <w:rFonts w:ascii="Arial" w:hAnsi="Arial" w:cs="Arial"/>
                    <w:noProof/>
                    <w:color w:val="000000" w:themeColor="text1"/>
                  </w:rPr>
                  <w:t>3</w:t>
                </w:r>
                <w:r w:rsidR="00504F29">
                  <w:rPr>
                    <w:rFonts w:ascii="Arial" w:hAnsi="Arial" w:cs="Arial"/>
                    <w:noProof/>
                    <w:color w:val="000000" w:themeColor="text1"/>
                  </w:rPr>
                  <w:fldChar w:fldCharType="end"/>
                </w:r>
              </w:hyperlink>
            </w:p>
            <w:p w14:paraId="2C301EFD" w14:textId="0A827044"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3" w:history="1">
                <w:r w:rsidR="00504F29">
                  <w:rPr>
                    <w:rStyle w:val="Hyperlink"/>
                    <w:rFonts w:ascii="Arial" w:hAnsi="Arial" w:cs="Arial"/>
                    <w:noProof/>
                    <w:color w:val="000000" w:themeColor="text1"/>
                  </w:rPr>
                  <w:t>4.</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DEFINIÇÃO DA DEMANDA</w:t>
                </w:r>
                <w:r w:rsidR="00504F29">
                  <w:rPr>
                    <w:rFonts w:ascii="Arial" w:hAnsi="Arial" w:cs="Arial"/>
                    <w:noProof/>
                    <w:color w:val="000000" w:themeColor="text1"/>
                  </w:rPr>
                  <w:tab/>
                </w:r>
                <w:r w:rsidR="00504F29">
                  <w:rPr>
                    <w:rFonts w:ascii="Arial" w:hAnsi="Arial" w:cs="Arial"/>
                    <w:noProof/>
                    <w:color w:val="000000" w:themeColor="text1"/>
                  </w:rPr>
                  <w:fldChar w:fldCharType="begin"/>
                </w:r>
                <w:r w:rsidR="00504F29">
                  <w:rPr>
                    <w:rFonts w:ascii="Arial" w:hAnsi="Arial" w:cs="Arial"/>
                    <w:noProof/>
                    <w:color w:val="000000" w:themeColor="text1"/>
                  </w:rPr>
                  <w:instrText xml:space="preserve"> PAGEREF _Toc81472273 \h </w:instrText>
                </w:r>
                <w:r w:rsidR="00504F29">
                  <w:rPr>
                    <w:rFonts w:ascii="Arial" w:hAnsi="Arial" w:cs="Arial"/>
                    <w:noProof/>
                    <w:color w:val="000000" w:themeColor="text1"/>
                  </w:rPr>
                </w:r>
                <w:r w:rsidR="00504F29">
                  <w:rPr>
                    <w:rFonts w:ascii="Arial" w:hAnsi="Arial" w:cs="Arial"/>
                    <w:noProof/>
                    <w:color w:val="000000" w:themeColor="text1"/>
                  </w:rPr>
                  <w:fldChar w:fldCharType="separate"/>
                </w:r>
                <w:r w:rsidR="00504F29">
                  <w:rPr>
                    <w:rFonts w:ascii="Arial" w:hAnsi="Arial" w:cs="Arial"/>
                    <w:noProof/>
                    <w:color w:val="000000" w:themeColor="text1"/>
                  </w:rPr>
                  <w:t>6</w:t>
                </w:r>
                <w:r w:rsidR="00504F29">
                  <w:rPr>
                    <w:rFonts w:ascii="Arial" w:hAnsi="Arial" w:cs="Arial"/>
                    <w:noProof/>
                    <w:color w:val="000000" w:themeColor="text1"/>
                  </w:rPr>
                  <w:fldChar w:fldCharType="end"/>
                </w:r>
              </w:hyperlink>
            </w:p>
            <w:p w14:paraId="4D2195D1" w14:textId="229A9A9E"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4" w:history="1">
                <w:r w:rsidR="00504F29">
                  <w:rPr>
                    <w:rStyle w:val="Hyperlink"/>
                    <w:rFonts w:ascii="Arial" w:hAnsi="Arial" w:cs="Arial"/>
                    <w:noProof/>
                    <w:color w:val="000000" w:themeColor="text1"/>
                  </w:rPr>
                  <w:t>5.</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REQUISITOS NECESSÁRIOS À SOLUÇÃO</w:t>
                </w:r>
                <w:r w:rsidR="00504F29">
                  <w:rPr>
                    <w:rFonts w:ascii="Arial" w:hAnsi="Arial" w:cs="Arial"/>
                    <w:noProof/>
                    <w:color w:val="000000" w:themeColor="text1"/>
                  </w:rPr>
                  <w:tab/>
                  <w:t>4</w:t>
                </w:r>
              </w:hyperlink>
            </w:p>
            <w:p w14:paraId="1C7D5ED3" w14:textId="202A76D8"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6" w:history="1">
                <w:r w:rsidR="00504F29">
                  <w:rPr>
                    <w:rStyle w:val="Hyperlink"/>
                    <w:rFonts w:ascii="Arial" w:hAnsi="Arial" w:cs="Arial"/>
                    <w:noProof/>
                    <w:color w:val="000000" w:themeColor="text1"/>
                  </w:rPr>
                  <w:t>6.</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DESCRIÇÃO DA SOLUÇÃO</w:t>
                </w:r>
                <w:r w:rsidR="00504F29">
                  <w:rPr>
                    <w:rFonts w:ascii="Arial" w:hAnsi="Arial" w:cs="Arial"/>
                    <w:noProof/>
                    <w:color w:val="000000" w:themeColor="text1"/>
                  </w:rPr>
                  <w:tab/>
                  <w:t>5</w:t>
                </w:r>
              </w:hyperlink>
            </w:p>
            <w:p w14:paraId="10AB8DB6" w14:textId="181DEEF9"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7" w:history="1">
                <w:r w:rsidR="00504F29">
                  <w:rPr>
                    <w:rStyle w:val="Hyperlink"/>
                    <w:rFonts w:ascii="Arial" w:hAnsi="Arial" w:cs="Arial"/>
                    <w:noProof/>
                    <w:color w:val="000000" w:themeColor="text1"/>
                  </w:rPr>
                  <w:t>7.</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ESTIMATIVA DAS QUANTIDADES A SEREM CONTRATADAS</w:t>
                </w:r>
                <w:r w:rsidR="00504F29">
                  <w:rPr>
                    <w:rFonts w:ascii="Arial" w:hAnsi="Arial" w:cs="Arial"/>
                    <w:noProof/>
                    <w:color w:val="000000" w:themeColor="text1"/>
                  </w:rPr>
                  <w:tab/>
                  <w:t>11</w:t>
                </w:r>
              </w:hyperlink>
            </w:p>
            <w:p w14:paraId="2068366B" w14:textId="4F658A44"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8" w:history="1">
                <w:r w:rsidR="00504F29">
                  <w:rPr>
                    <w:rStyle w:val="Hyperlink"/>
                    <w:rFonts w:ascii="Arial" w:hAnsi="Arial" w:cs="Arial"/>
                    <w:noProof/>
                    <w:color w:val="000000" w:themeColor="text1"/>
                  </w:rPr>
                  <w:t>8.</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PESQUISA DE MERCADO E ESTIMATIVA DO VALOR DA CONTRATAÇÃO</w:t>
                </w:r>
                <w:r w:rsidR="00504F29">
                  <w:rPr>
                    <w:rFonts w:ascii="Arial" w:hAnsi="Arial" w:cs="Arial"/>
                    <w:noProof/>
                    <w:color w:val="000000" w:themeColor="text1"/>
                  </w:rPr>
                  <w:tab/>
                  <w:t>25</w:t>
                </w:r>
              </w:hyperlink>
            </w:p>
            <w:p w14:paraId="58FC5C4B" w14:textId="05763B4F"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79" w:history="1">
                <w:r w:rsidR="00504F29">
                  <w:rPr>
                    <w:rStyle w:val="Hyperlink"/>
                    <w:rFonts w:ascii="Arial" w:hAnsi="Arial" w:cs="Arial"/>
                    <w:noProof/>
                    <w:color w:val="000000" w:themeColor="text1"/>
                  </w:rPr>
                  <w:t>9.</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RESULTADOS PRETENDIDOS</w:t>
                </w:r>
                <w:r w:rsidR="00504F29">
                  <w:rPr>
                    <w:rFonts w:ascii="Arial" w:hAnsi="Arial" w:cs="Arial"/>
                    <w:noProof/>
                    <w:color w:val="000000" w:themeColor="text1"/>
                  </w:rPr>
                  <w:tab/>
                  <w:t>26</w:t>
                </w:r>
              </w:hyperlink>
            </w:p>
            <w:p w14:paraId="646D96A4" w14:textId="23CDE8B1"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80" w:history="1">
                <w:r w:rsidR="00504F29">
                  <w:rPr>
                    <w:rStyle w:val="Hyperlink"/>
                    <w:rFonts w:ascii="Arial" w:hAnsi="Arial" w:cs="Arial"/>
                    <w:noProof/>
                    <w:color w:val="000000" w:themeColor="text1"/>
                  </w:rPr>
                  <w:t>10.</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ALINHAMENTO DA DEMANDA COM O PLANEJAMENTO ESTRATÉGICO INSTITUCIONAL – PEI</w:t>
                </w:r>
                <w:r w:rsidR="00504F29">
                  <w:rPr>
                    <w:rFonts w:ascii="Arial" w:hAnsi="Arial" w:cs="Arial"/>
                    <w:noProof/>
                    <w:color w:val="000000" w:themeColor="text1"/>
                  </w:rPr>
                  <w:tab/>
                  <w:t>26</w:t>
                </w:r>
              </w:hyperlink>
            </w:p>
            <w:p w14:paraId="5B38F2E9" w14:textId="2D64A179"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81" w:history="1">
                <w:r w:rsidR="00504F29">
                  <w:rPr>
                    <w:rStyle w:val="Hyperlink"/>
                    <w:rFonts w:ascii="Arial" w:hAnsi="Arial" w:cs="Arial"/>
                    <w:noProof/>
                    <w:color w:val="000000" w:themeColor="text1"/>
                  </w:rPr>
                  <w:t>11.</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PROVIDÊNCIAS ADOTADAS PREVIAMENTE À CELEBRAÇÃO DO CONTRATO</w:t>
                </w:r>
                <w:r w:rsidR="00504F29">
                  <w:rPr>
                    <w:rFonts w:ascii="Arial" w:hAnsi="Arial" w:cs="Arial"/>
                    <w:noProof/>
                    <w:color w:val="000000" w:themeColor="text1"/>
                  </w:rPr>
                  <w:tab/>
                  <w:t>26</w:t>
                </w:r>
              </w:hyperlink>
            </w:p>
            <w:p w14:paraId="32CBAC9D" w14:textId="08936A44"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82" w:history="1">
                <w:r w:rsidR="00504F29">
                  <w:rPr>
                    <w:rStyle w:val="Hyperlink"/>
                    <w:rFonts w:ascii="Arial" w:hAnsi="Arial" w:cs="Arial"/>
                    <w:noProof/>
                    <w:color w:val="000000" w:themeColor="text1"/>
                  </w:rPr>
                  <w:t>12.</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IMPACTOS AMBIENTAIS E RESPECTIVAS MEDIDAS DE TRATAMENTO – CRITÉRIOS DE SUSTENTABILIDADE AMBIENTAL</w:t>
                </w:r>
                <w:r w:rsidR="00504F29">
                  <w:rPr>
                    <w:rFonts w:ascii="Arial" w:hAnsi="Arial" w:cs="Arial"/>
                    <w:noProof/>
                    <w:color w:val="000000" w:themeColor="text1"/>
                  </w:rPr>
                  <w:tab/>
                  <w:t>27</w:t>
                </w:r>
              </w:hyperlink>
            </w:p>
            <w:p w14:paraId="4AA9BFF4" w14:textId="1A6054E0"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89" w:history="1">
                <w:r w:rsidR="00504F29">
                  <w:rPr>
                    <w:rStyle w:val="Hyperlink"/>
                    <w:rFonts w:ascii="Arial" w:hAnsi="Arial" w:cs="Arial"/>
                    <w:noProof/>
                    <w:color w:val="000000" w:themeColor="text1"/>
                  </w:rPr>
                  <w:t>13.</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PARCELAMENTO DO OBJETO</w:t>
                </w:r>
                <w:r w:rsidR="00504F29">
                  <w:rPr>
                    <w:rFonts w:ascii="Arial" w:hAnsi="Arial" w:cs="Arial"/>
                    <w:noProof/>
                    <w:color w:val="000000" w:themeColor="text1"/>
                  </w:rPr>
                  <w:tab/>
                  <w:t>27</w:t>
                </w:r>
              </w:hyperlink>
            </w:p>
            <w:p w14:paraId="6D35C0F7" w14:textId="7CA4C241"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90" w:history="1">
                <w:r w:rsidR="00504F29">
                  <w:rPr>
                    <w:rStyle w:val="Hyperlink"/>
                    <w:rFonts w:ascii="Arial" w:hAnsi="Arial" w:cs="Arial"/>
                    <w:noProof/>
                    <w:color w:val="000000" w:themeColor="text1"/>
                  </w:rPr>
                  <w:t>14.</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CONTRATAÇÕES CORRELATAS E/OU INTERDEPENDENTES</w:t>
                </w:r>
                <w:r w:rsidR="00504F29">
                  <w:rPr>
                    <w:rFonts w:ascii="Arial" w:hAnsi="Arial" w:cs="Arial"/>
                    <w:noProof/>
                    <w:color w:val="000000" w:themeColor="text1"/>
                  </w:rPr>
                  <w:tab/>
                  <w:t>27</w:t>
                </w:r>
              </w:hyperlink>
            </w:p>
            <w:p w14:paraId="4238AEF4" w14:textId="57BD303F"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91" w:history="1">
                <w:r w:rsidR="00504F29">
                  <w:rPr>
                    <w:rStyle w:val="Hyperlink"/>
                    <w:rFonts w:ascii="Arial" w:hAnsi="Arial" w:cs="Arial"/>
                    <w:noProof/>
                    <w:color w:val="000000" w:themeColor="text1"/>
                  </w:rPr>
                  <w:t>15.</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MODALIDADE E TIPO DE LICITAÇÃO</w:t>
                </w:r>
                <w:r w:rsidR="00504F29">
                  <w:rPr>
                    <w:rFonts w:ascii="Arial" w:hAnsi="Arial" w:cs="Arial"/>
                    <w:noProof/>
                    <w:color w:val="000000" w:themeColor="text1"/>
                  </w:rPr>
                  <w:tab/>
                  <w:t>28</w:t>
                </w:r>
              </w:hyperlink>
            </w:p>
            <w:p w14:paraId="139C9DC9" w14:textId="0FF0CBD0"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93" w:history="1">
                <w:r w:rsidR="00504F29">
                  <w:rPr>
                    <w:rStyle w:val="Hyperlink"/>
                    <w:rFonts w:ascii="Arial" w:hAnsi="Arial" w:cs="Arial"/>
                    <w:noProof/>
                    <w:color w:val="000000" w:themeColor="text1"/>
                  </w:rPr>
                  <w:t>16.</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CLASSIFICAÇÃO E INDICAÇÃO ORÇAMENTÁRIA</w:t>
                </w:r>
                <w:r w:rsidR="00504F29">
                  <w:rPr>
                    <w:rFonts w:ascii="Arial" w:hAnsi="Arial" w:cs="Arial"/>
                    <w:noProof/>
                    <w:color w:val="000000" w:themeColor="text1"/>
                  </w:rPr>
                  <w:tab/>
                  <w:t>28</w:t>
                </w:r>
              </w:hyperlink>
            </w:p>
            <w:p w14:paraId="7A5DE502" w14:textId="23C7A5C2"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95" w:history="1">
                <w:r w:rsidR="00504F29">
                  <w:rPr>
                    <w:rStyle w:val="Hyperlink"/>
                    <w:rFonts w:ascii="Arial" w:hAnsi="Arial" w:cs="Arial"/>
                    <w:noProof/>
                    <w:color w:val="000000" w:themeColor="text1"/>
                  </w:rPr>
                  <w:t>17.</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SOBRE A VIABILIDADE E RAZOABILIDADE DA CONTRATAÇÃO</w:t>
                </w:r>
                <w:r w:rsidR="00504F29">
                  <w:rPr>
                    <w:rFonts w:ascii="Arial" w:hAnsi="Arial" w:cs="Arial"/>
                    <w:noProof/>
                    <w:color w:val="000000" w:themeColor="text1"/>
                  </w:rPr>
                  <w:tab/>
                  <w:t>28</w:t>
                </w:r>
              </w:hyperlink>
            </w:p>
            <w:p w14:paraId="7F277861" w14:textId="3D2EC9FC" w:rsidR="00D93872" w:rsidRDefault="00D51E08">
              <w:pPr>
                <w:pStyle w:val="Sumrio1"/>
                <w:numPr>
                  <w:ilvl w:val="0"/>
                  <w:numId w:val="0"/>
                </w:numPr>
                <w:tabs>
                  <w:tab w:val="left" w:pos="1212"/>
                  <w:tab w:val="right" w:leader="dot" w:pos="9629"/>
                </w:tabs>
                <w:spacing w:line="240" w:lineRule="auto"/>
                <w:ind w:left="720"/>
                <w:rPr>
                  <w:rFonts w:ascii="Arial" w:hAnsi="Arial" w:cs="Arial"/>
                  <w:noProof/>
                  <w:color w:val="000000" w:themeColor="text1"/>
                  <w:lang w:eastAsia="pt-BR"/>
                </w:rPr>
              </w:pPr>
              <w:hyperlink w:anchor="_Toc81472296" w:history="1">
                <w:r w:rsidR="00504F29">
                  <w:rPr>
                    <w:rStyle w:val="Hyperlink"/>
                    <w:rFonts w:ascii="Arial" w:hAnsi="Arial" w:cs="Arial"/>
                    <w:noProof/>
                    <w:color w:val="000000" w:themeColor="text1"/>
                  </w:rPr>
                  <w:t>18.</w:t>
                </w:r>
                <w:r w:rsidR="00504F29">
                  <w:rPr>
                    <w:rFonts w:ascii="Arial" w:hAnsi="Arial" w:cs="Arial"/>
                    <w:noProof/>
                    <w:color w:val="000000" w:themeColor="text1"/>
                    <w:lang w:eastAsia="pt-BR"/>
                  </w:rPr>
                  <w:tab/>
                </w:r>
                <w:r w:rsidR="00504F29">
                  <w:rPr>
                    <w:rStyle w:val="Hyperlink"/>
                    <w:rFonts w:ascii="Arial" w:hAnsi="Arial" w:cs="Arial"/>
                    <w:noProof/>
                    <w:color w:val="000000" w:themeColor="text1"/>
                  </w:rPr>
                  <w:t>CONSIDERAÇÕES FINAIS</w:t>
                </w:r>
                <w:r w:rsidR="00504F29">
                  <w:rPr>
                    <w:rFonts w:ascii="Arial" w:hAnsi="Arial" w:cs="Arial"/>
                    <w:noProof/>
                    <w:color w:val="000000" w:themeColor="text1"/>
                  </w:rPr>
                  <w:tab/>
                  <w:t>28</w:t>
                </w:r>
              </w:hyperlink>
            </w:p>
            <w:p w14:paraId="28422EC8" w14:textId="3DC97A0C" w:rsidR="00D93872" w:rsidRDefault="00504F29">
              <w:pPr>
                <w:spacing w:line="240" w:lineRule="auto"/>
                <w:rPr>
                  <w:rFonts w:ascii="Arial" w:hAnsi="Arial" w:cs="Arial"/>
                  <w:color w:val="000000" w:themeColor="text1"/>
                  <w:sz w:val="24"/>
                  <w:szCs w:val="24"/>
                </w:rPr>
              </w:pPr>
              <w:r>
                <w:rPr>
                  <w:rFonts w:ascii="Arial" w:hAnsi="Arial" w:cs="Arial"/>
                  <w:color w:val="000000" w:themeColor="text1"/>
                </w:rPr>
                <w:fldChar w:fldCharType="end"/>
              </w:r>
            </w:p>
          </w:sdtContent>
        </w:sdt>
        <w:p w14:paraId="16C9996E" w14:textId="5B9A3579" w:rsidR="00D93872" w:rsidRDefault="00D51E08">
          <w:pPr>
            <w:spacing w:line="240" w:lineRule="auto"/>
            <w:rPr>
              <w:rFonts w:ascii="Arial" w:hAnsi="Arial" w:cs="Arial"/>
              <w:b/>
              <w:color w:val="000000" w:themeColor="text1"/>
              <w:sz w:val="24"/>
              <w:szCs w:val="24"/>
            </w:rPr>
          </w:pPr>
        </w:p>
      </w:sdtContent>
    </w:sdt>
    <w:p w14:paraId="58FA425C" w14:textId="4880BEBB" w:rsidR="0054768A" w:rsidRDefault="0054768A" w:rsidP="0054768A">
      <w:bookmarkStart w:id="0" w:name="_Ref81407306"/>
      <w:bookmarkStart w:id="1" w:name="_Toc81472270"/>
      <w:r>
        <w:br w:type="page"/>
      </w:r>
    </w:p>
    <w:p w14:paraId="0E21ED1E" w14:textId="77777777" w:rsidR="0054768A" w:rsidRDefault="0054768A" w:rsidP="0054768A"/>
    <w:p w14:paraId="4F0FD346" w14:textId="54AF025B" w:rsidR="00D93872" w:rsidRDefault="00504F29">
      <w:pPr>
        <w:pStyle w:val="Ttulo1"/>
        <w:rPr>
          <w:rFonts w:cs="Arial"/>
          <w:color w:val="000000" w:themeColor="text1"/>
          <w:sz w:val="24"/>
        </w:rPr>
      </w:pPr>
      <w:r>
        <w:rPr>
          <w:rFonts w:cs="Arial"/>
          <w:color w:val="000000" w:themeColor="text1"/>
          <w:sz w:val="24"/>
        </w:rPr>
        <w:t>ESTUDO TÉCNICO PRELIMINAR</w:t>
      </w:r>
      <w:bookmarkEnd w:id="0"/>
      <w:bookmarkEnd w:id="1"/>
      <w:r>
        <w:rPr>
          <w:rFonts w:cs="Arial"/>
          <w:color w:val="000000" w:themeColor="text1"/>
          <w:sz w:val="24"/>
        </w:rPr>
        <w:t xml:space="preserve"> </w:t>
      </w:r>
    </w:p>
    <w:p w14:paraId="2D28F4C1" w14:textId="77777777" w:rsidR="00D93872" w:rsidRDefault="00D93872">
      <w:pPr>
        <w:autoSpaceDE w:val="0"/>
        <w:autoSpaceDN w:val="0"/>
        <w:adjustRightInd w:val="0"/>
        <w:spacing w:after="0" w:line="240" w:lineRule="auto"/>
        <w:rPr>
          <w:rFonts w:ascii="Arial" w:hAnsi="Arial" w:cs="Arial"/>
          <w:color w:val="000000" w:themeColor="text1"/>
          <w:sz w:val="24"/>
          <w:szCs w:val="24"/>
        </w:rPr>
      </w:pPr>
    </w:p>
    <w:p w14:paraId="17425F2A" w14:textId="78C3AC9E"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 xml:space="preserve">Este documento visa atender a INSTRUÇÃO NORMATIVA Nº 40, de 22 de </w:t>
      </w:r>
      <w:r w:rsidR="0054768A">
        <w:rPr>
          <w:rFonts w:ascii="Arial" w:hAnsi="Arial" w:cs="Arial"/>
          <w:color w:val="000000" w:themeColor="text1"/>
          <w:sz w:val="24"/>
          <w:szCs w:val="24"/>
        </w:rPr>
        <w:t>m</w:t>
      </w:r>
      <w:r>
        <w:rPr>
          <w:rFonts w:ascii="Arial" w:hAnsi="Arial" w:cs="Arial"/>
          <w:color w:val="000000" w:themeColor="text1"/>
          <w:sz w:val="24"/>
          <w:szCs w:val="24"/>
        </w:rPr>
        <w:t>aio de 2020, que dispõe sobre a elaboração dos Estudos Técnicos Preliminares (ETP) para a aquisição de bens e a contratação de serviços e obras, no âmbito da Administração Pública Federal direta, autárquica e fundacional, e sobre o Sistema ETP digital.</w:t>
      </w:r>
    </w:p>
    <w:p w14:paraId="684999EF"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6AA35132"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Estudo Técnico Preliminar (ETP) é o documento que integra a primeira fase de planejamento das contratações públicas e tem o objetivo de demonstrar a real necessidade da contratação; descreve as análises realizadas em termos de requisitos, alternativas, escolhas, resultados pretendidos e demais características, dando base ao anteprojeto, ao termo de referência ou ao projeto básico.</w:t>
      </w:r>
    </w:p>
    <w:p w14:paraId="166ED02C"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3434D5C4" w14:textId="77777777" w:rsidR="00D93872" w:rsidRDefault="00504F29">
      <w:pPr>
        <w:pStyle w:val="Ttulo1"/>
        <w:rPr>
          <w:rFonts w:cs="Arial"/>
          <w:color w:val="000000" w:themeColor="text1"/>
          <w:sz w:val="24"/>
        </w:rPr>
      </w:pPr>
      <w:bookmarkStart w:id="2" w:name="_Toc81472271"/>
      <w:bookmarkStart w:id="3" w:name="_Ref81407311"/>
      <w:r>
        <w:rPr>
          <w:rFonts w:cs="Arial"/>
          <w:color w:val="000000" w:themeColor="text1"/>
          <w:sz w:val="24"/>
        </w:rPr>
        <w:t>CONTEXTUALIZAÇÃO</w:t>
      </w:r>
      <w:bookmarkEnd w:id="2"/>
      <w:r>
        <w:rPr>
          <w:rFonts w:cs="Arial"/>
          <w:color w:val="000000" w:themeColor="text1"/>
          <w:sz w:val="24"/>
        </w:rPr>
        <w:t xml:space="preserve"> </w:t>
      </w:r>
      <w:bookmarkEnd w:id="3"/>
    </w:p>
    <w:p w14:paraId="69F9995E" w14:textId="77777777" w:rsidR="00D93872" w:rsidRDefault="00D93872">
      <w:pPr>
        <w:pStyle w:val="PargrafodaLista"/>
        <w:autoSpaceDE w:val="0"/>
        <w:autoSpaceDN w:val="0"/>
        <w:adjustRightInd w:val="0"/>
        <w:spacing w:after="0" w:line="240" w:lineRule="auto"/>
        <w:jc w:val="both"/>
        <w:rPr>
          <w:rFonts w:ascii="Arial" w:hAnsi="Arial" w:cs="Arial"/>
          <w:b/>
          <w:bCs/>
          <w:color w:val="000000" w:themeColor="text1"/>
          <w:sz w:val="24"/>
          <w:szCs w:val="24"/>
        </w:rPr>
      </w:pPr>
    </w:p>
    <w:p w14:paraId="277D8AD5"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A CODEVASF é uma empresa pública dependente, com capital 100% da União, que transforma a realidade das pessoas, com foco na melhoria dos três pilares básicos da sustentabilidade: social, econômico e ambiental. Atuamos com base na capacidade técnica de nossa força de trabalho, alicerçados nas expertises e experiências adquiridas ao longo da nossa história, ou mediante parcerias com instituições públicas ou organizações privadas da sociedade civil sem fins lucrativos, notoriamente nos segmentos de agricultura irrigada, revitalização de bacias hidrográficas, segurança hídrica e economia sustentável, promovendo o desenvolvimento regional em regiões de baixo poder econômico e distribuição de renda. </w:t>
      </w:r>
    </w:p>
    <w:p w14:paraId="1643E57F" w14:textId="77777777" w:rsidR="00D93872" w:rsidRDefault="00D93872">
      <w:pPr>
        <w:pStyle w:val="Default"/>
        <w:jc w:val="both"/>
        <w:rPr>
          <w:rFonts w:ascii="Arial" w:hAnsi="Arial" w:cs="Arial"/>
          <w:color w:val="000000" w:themeColor="text1"/>
        </w:rPr>
      </w:pPr>
    </w:p>
    <w:p w14:paraId="45C803FD"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A Companhia de Desenvolvimento dos Vales do São Francisco e do Parnaíba – CODEVASF tem como Missão “desenvolver bacias hidrográficas de forma integrada e sustentável, contribuindo para a redução das desigualdades regionais”, norteada pelos objetivos fundamentais da República Federativa do Brasil previstos na Carta Magna, em especial, o de erradicar a pobreza e a marginalização e reduzir as desigualdades sociais e regionais (art. 3º, inciso III), sendo uma organização que transforma a realidade das regiões onde atua, com foco na melhoria das condições sociais, econômicas e ambientais. </w:t>
      </w:r>
    </w:p>
    <w:p w14:paraId="254DEC5C" w14:textId="77777777" w:rsidR="00D93872" w:rsidRDefault="00D93872">
      <w:pPr>
        <w:pStyle w:val="Default"/>
        <w:jc w:val="both"/>
        <w:rPr>
          <w:rFonts w:ascii="Arial" w:hAnsi="Arial" w:cs="Arial"/>
          <w:color w:val="000000" w:themeColor="text1"/>
        </w:rPr>
      </w:pPr>
    </w:p>
    <w:p w14:paraId="39714B08" w14:textId="77777777" w:rsidR="00D93872" w:rsidRDefault="00504F29">
      <w:pPr>
        <w:pStyle w:val="Default"/>
        <w:jc w:val="both"/>
        <w:rPr>
          <w:rFonts w:ascii="Arial" w:hAnsi="Arial" w:cs="Arial"/>
          <w:color w:val="000000" w:themeColor="text1"/>
        </w:rPr>
      </w:pPr>
      <w:r>
        <w:rPr>
          <w:rFonts w:ascii="Arial" w:hAnsi="Arial" w:cs="Arial"/>
          <w:color w:val="000000" w:themeColor="text1"/>
        </w:rPr>
        <w:t>Com o objetivo de cumprir a sua missão, a CODEVASF desenvolve, através de execução direta ou mediante parcerias firmadas com diferentes entes federativos, iniciativas materializadas na forma de obras e ações.</w:t>
      </w:r>
    </w:p>
    <w:p w14:paraId="4A5841EE" w14:textId="77777777" w:rsidR="00D93872" w:rsidRDefault="00D93872">
      <w:pPr>
        <w:pStyle w:val="Default"/>
        <w:jc w:val="both"/>
        <w:rPr>
          <w:rFonts w:ascii="Arial" w:hAnsi="Arial" w:cs="Arial"/>
          <w:color w:val="000000" w:themeColor="text1"/>
        </w:rPr>
      </w:pPr>
    </w:p>
    <w:p w14:paraId="36E62100" w14:textId="77777777" w:rsidR="00D93872" w:rsidRDefault="00504F29">
      <w:pPr>
        <w:pStyle w:val="Ttulo1"/>
        <w:rPr>
          <w:rFonts w:cs="Arial"/>
          <w:color w:val="000000" w:themeColor="text1"/>
          <w:sz w:val="24"/>
        </w:rPr>
      </w:pPr>
      <w:bookmarkStart w:id="4" w:name="_Toc81472272"/>
      <w:r>
        <w:rPr>
          <w:rFonts w:cs="Arial"/>
          <w:color w:val="000000" w:themeColor="text1"/>
          <w:sz w:val="24"/>
        </w:rPr>
        <w:t>DESCRIÇÃO DA NECESSIDADE DA CONTRATAÇÃO</w:t>
      </w:r>
      <w:bookmarkEnd w:id="4"/>
    </w:p>
    <w:p w14:paraId="358CD92A" w14:textId="77777777" w:rsidR="00D93872" w:rsidRDefault="00D93872">
      <w:pPr>
        <w:pStyle w:val="Default"/>
        <w:jc w:val="both"/>
        <w:rPr>
          <w:rFonts w:ascii="Arial" w:hAnsi="Arial" w:cs="Arial"/>
          <w:color w:val="000000" w:themeColor="text1"/>
        </w:rPr>
      </w:pPr>
    </w:p>
    <w:p w14:paraId="7773E3C4" w14:textId="77777777" w:rsidR="00D93872" w:rsidRDefault="00504F29">
      <w:pPr>
        <w:pStyle w:val="Default"/>
        <w:jc w:val="both"/>
        <w:rPr>
          <w:rFonts w:ascii="Arial" w:hAnsi="Arial"/>
          <w:color w:val="000000" w:themeColor="text1"/>
        </w:rPr>
      </w:pPr>
      <w:r>
        <w:rPr>
          <w:rFonts w:ascii="Arial" w:hAnsi="Arial" w:cs="Arial"/>
          <w:color w:val="000000" w:themeColor="text1"/>
        </w:rPr>
        <w:t>A elaboração deste Estudo visa subsidiar a abertura de processo licitatório, na modalidade Eletrônica (Lei Federal nº 10.520/2002 - Maior Desconto), visando à c</w:t>
      </w:r>
      <w:r>
        <w:rPr>
          <w:rFonts w:ascii="Arial" w:hAnsi="Arial"/>
          <w:color w:val="000000" w:themeColor="text1"/>
        </w:rPr>
        <w:t>ontratação de empresa para 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p w14:paraId="33F5C94B" w14:textId="77777777" w:rsidR="00D93872" w:rsidRDefault="00504F29">
      <w:pPr>
        <w:pStyle w:val="Default"/>
        <w:jc w:val="both"/>
        <w:rPr>
          <w:rFonts w:ascii="Arial" w:hAnsi="Arial" w:cs="Arial"/>
          <w:color w:val="000000" w:themeColor="text1"/>
        </w:rPr>
      </w:pPr>
      <w:r>
        <w:rPr>
          <w:rFonts w:ascii="Arial" w:hAnsi="Arial" w:cs="Arial"/>
          <w:color w:val="000000" w:themeColor="text1"/>
        </w:rPr>
        <w:lastRenderedPageBreak/>
        <w:t>Quanto à necessidade da contratação, justificam-se as razões de interesse público, levando em consideração as políticas públicas voltadas para a solução das carências do semiárido nordestino, que apesar de terem proporcionado alguns progressos, ainda não conseguiram melhorar substancialmente os indicadores sociais da região, os quais se situam entre os mais baixos do país.</w:t>
      </w:r>
    </w:p>
    <w:p w14:paraId="77381C15" w14:textId="77777777" w:rsidR="00D93872" w:rsidRDefault="00D93872">
      <w:pPr>
        <w:pStyle w:val="Default"/>
        <w:jc w:val="both"/>
        <w:rPr>
          <w:rFonts w:ascii="Arial" w:hAnsi="Arial" w:cs="Arial"/>
          <w:color w:val="000000" w:themeColor="text1"/>
        </w:rPr>
      </w:pPr>
    </w:p>
    <w:p w14:paraId="3E9A49AA" w14:textId="77777777" w:rsidR="00D93872" w:rsidRDefault="00504F29">
      <w:pPr>
        <w:pStyle w:val="Default"/>
        <w:jc w:val="both"/>
        <w:rPr>
          <w:rFonts w:ascii="Arial" w:hAnsi="Arial" w:cs="Arial"/>
          <w:color w:val="000000" w:themeColor="text1"/>
        </w:rPr>
      </w:pPr>
      <w:r>
        <w:rPr>
          <w:rFonts w:ascii="Arial" w:hAnsi="Arial" w:cs="Arial"/>
          <w:color w:val="000000" w:themeColor="text1"/>
        </w:rPr>
        <w:t>A seguir, apresenta-se algumas das características demográficas, sociais e econômicas de diversos municípios no âmbito da 2ª Superintendência Regional da Codevasf.</w:t>
      </w:r>
    </w:p>
    <w:p w14:paraId="4008D84C" w14:textId="77777777" w:rsidR="00D93872" w:rsidRDefault="00D93872">
      <w:pPr>
        <w:pStyle w:val="Default"/>
        <w:jc w:val="both"/>
        <w:rPr>
          <w:rFonts w:ascii="Arial" w:hAnsi="Arial" w:cs="Arial"/>
          <w:color w:val="000000" w:themeColor="text1"/>
        </w:rPr>
      </w:pPr>
    </w:p>
    <w:p w14:paraId="2E5EB7C6" w14:textId="05C21C58" w:rsidR="00D93872" w:rsidRDefault="00504F29">
      <w:pPr>
        <w:pStyle w:val="Default"/>
        <w:jc w:val="both"/>
        <w:rPr>
          <w:rFonts w:ascii="Arial" w:hAnsi="Arial" w:cs="Arial"/>
          <w:color w:val="000000" w:themeColor="text1"/>
        </w:rPr>
      </w:pPr>
      <w:r>
        <w:rPr>
          <w:rFonts w:ascii="Arial" w:hAnsi="Arial" w:cs="Arial"/>
          <w:color w:val="000000" w:themeColor="text1"/>
        </w:rPr>
        <w:t xml:space="preserve">Em geral, a rede de distribuição de água na região do semiárido nordestino ainda carece de robustos investimentos públicos e privados para ter cobertura suficiente para atender a população, especialmente nas áreas rurais. Sendo assim, soluções localizadas para acesso a água, como a implantação de reservatórios escavados para acúmulo de água em regiões de caráter predominantemente rurais, são extremamente eficazes para garantir o acesso das famílias e dos pequenos produtores a fonte de água para desenvolvimento de atividades produtivas, como a criação de animais, de forma perene e sustentável. Como se pode observar na Figura 1 a seguir, há um predomínio de tipologia rural dentro da área da 2ª/SR. Dentro as classificações apresentadas pelo IBGE, os municípios do tipo rural-adjacente possuem maior articulação socioeconômica com polos urbanos, como os municípios de Barreiras, Luís Eduardo Magalhães, Bom Jesus da Lapa, Guanambi e Brumado, no sentido do interior ao litoral. Porém, existem municípios caracterizados por serem do tipo rural-remoto, no qual há maior grau de isolamento das comunidades assentadas na zona rural. </w:t>
      </w:r>
    </w:p>
    <w:p w14:paraId="02BCEA72" w14:textId="77777777" w:rsidR="00D93872" w:rsidRDefault="00D93872">
      <w:pPr>
        <w:pStyle w:val="Default"/>
        <w:jc w:val="both"/>
        <w:rPr>
          <w:rFonts w:ascii="Arial" w:hAnsi="Arial" w:cs="Arial"/>
          <w:color w:val="000000" w:themeColor="text1"/>
        </w:rPr>
      </w:pPr>
    </w:p>
    <w:p w14:paraId="247ABDC8" w14:textId="77777777" w:rsidR="00D93872" w:rsidRDefault="00504F29">
      <w:pPr>
        <w:pStyle w:val="Legenda"/>
        <w:spacing w:after="0"/>
        <w:jc w:val="center"/>
        <w:rPr>
          <w:b/>
          <w:bCs/>
          <w:color w:val="000000" w:themeColor="text1"/>
        </w:rPr>
      </w:pPr>
      <w:r>
        <w:rPr>
          <w:b/>
          <w:bCs/>
        </w:rPr>
        <w:t xml:space="preserve">Figura </w:t>
      </w:r>
      <w:r>
        <w:rPr>
          <w:b/>
          <w:bCs/>
        </w:rPr>
        <w:fldChar w:fldCharType="begin"/>
      </w:r>
      <w:r>
        <w:rPr>
          <w:b/>
          <w:bCs/>
        </w:rPr>
        <w:instrText xml:space="preserve"> SEQ Figura \* ARABIC </w:instrText>
      </w:r>
      <w:r>
        <w:rPr>
          <w:b/>
          <w:bCs/>
        </w:rPr>
        <w:fldChar w:fldCharType="separate"/>
      </w:r>
      <w:r>
        <w:rPr>
          <w:b/>
          <w:bCs/>
        </w:rPr>
        <w:t>1</w:t>
      </w:r>
      <w:r>
        <w:rPr>
          <w:b/>
          <w:bCs/>
        </w:rPr>
        <w:fldChar w:fldCharType="end"/>
      </w:r>
    </w:p>
    <w:p w14:paraId="13CF5523" w14:textId="77777777" w:rsidR="00D93872" w:rsidRDefault="00504F29">
      <w:pPr>
        <w:pStyle w:val="Default"/>
        <w:jc w:val="center"/>
        <w:rPr>
          <w:rFonts w:ascii="Arial" w:hAnsi="Arial" w:cs="Arial"/>
          <w:color w:val="000000" w:themeColor="text1"/>
        </w:rPr>
      </w:pPr>
      <w:r>
        <w:rPr>
          <w:noProof/>
        </w:rPr>
        <w:drawing>
          <wp:inline distT="0" distB="0" distL="114300" distR="114300" wp14:anchorId="7DD9749D" wp14:editId="1A5BA459">
            <wp:extent cx="5332730" cy="3772535"/>
            <wp:effectExtent l="0" t="0" r="1270" b="18415"/>
            <wp:docPr id="1" name="Imagem 1" descr="Tipologia Urbano-Rural -  diversos municip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Tipologia Urbano-Rural -  diversos municipios"/>
                    <pic:cNvPicPr>
                      <a:picLocks noChangeAspect="1"/>
                    </pic:cNvPicPr>
                  </pic:nvPicPr>
                  <pic:blipFill>
                    <a:blip r:embed="rId9"/>
                    <a:stretch>
                      <a:fillRect/>
                    </a:stretch>
                  </pic:blipFill>
                  <pic:spPr>
                    <a:xfrm>
                      <a:off x="0" y="0"/>
                      <a:ext cx="5332730" cy="3772535"/>
                    </a:xfrm>
                    <a:prstGeom prst="rect">
                      <a:avLst/>
                    </a:prstGeom>
                  </pic:spPr>
                </pic:pic>
              </a:graphicData>
            </a:graphic>
          </wp:inline>
        </w:drawing>
      </w:r>
    </w:p>
    <w:p w14:paraId="1401E208" w14:textId="77777777" w:rsidR="00D93872" w:rsidRDefault="00D93872">
      <w:pPr>
        <w:pStyle w:val="Default"/>
        <w:jc w:val="both"/>
        <w:rPr>
          <w:rFonts w:ascii="Arial" w:hAnsi="Arial" w:cs="Arial"/>
          <w:color w:val="000000" w:themeColor="text1"/>
        </w:rPr>
      </w:pPr>
    </w:p>
    <w:p w14:paraId="2748F6DE" w14:textId="77777777" w:rsidR="00D93872" w:rsidRDefault="00504F29">
      <w:pPr>
        <w:pStyle w:val="Default"/>
        <w:jc w:val="both"/>
        <w:rPr>
          <w:rFonts w:ascii="Arial" w:hAnsi="Arial" w:cs="Arial"/>
          <w:color w:val="000000" w:themeColor="text1"/>
        </w:rPr>
      </w:pPr>
      <w:r>
        <w:rPr>
          <w:rFonts w:ascii="Arial" w:hAnsi="Arial" w:cs="Arial"/>
          <w:color w:val="000000" w:themeColor="text1"/>
        </w:rPr>
        <w:t>Outro fator que denota maior grau de dispersão entre as comunidades é a predominância de ocupação menos densa nas áreas compostas por municípios de tipologia rural (vide Figura 2). Aliado a isso, municípios baianos do Cerrado e Catingoso (Figura 3) são reconhecidamente voltados às atividades agroindustriais, salvo por destaques pontuais como a existência de economia de mineração nas reservas cristalinas do estado. No entanto, a economia agrícola da Bahia é composta tanto pelo complexo do agronegócio quanto pela produção de subsistência, este último marcado pela escassez de recursos para o desenvolvimento das atividades rurais.</w:t>
      </w:r>
    </w:p>
    <w:p w14:paraId="353371B3" w14:textId="77777777" w:rsidR="00D93872" w:rsidRDefault="00D93872">
      <w:pPr>
        <w:pStyle w:val="Default"/>
        <w:jc w:val="both"/>
        <w:rPr>
          <w:rFonts w:ascii="Arial" w:hAnsi="Arial" w:cs="Arial"/>
          <w:color w:val="000000" w:themeColor="text1"/>
        </w:rPr>
      </w:pPr>
    </w:p>
    <w:p w14:paraId="119DABB5" w14:textId="013A71E3" w:rsidR="00D93872" w:rsidRDefault="00504F29">
      <w:pPr>
        <w:pStyle w:val="Legenda"/>
        <w:spacing w:after="0"/>
        <w:jc w:val="center"/>
        <w:rPr>
          <w:b/>
          <w:bCs/>
        </w:rPr>
      </w:pPr>
      <w:r>
        <w:rPr>
          <w:b/>
          <w:bCs/>
        </w:rPr>
        <w:t xml:space="preserve">Figura </w:t>
      </w:r>
      <w:r w:rsidR="0054768A">
        <w:rPr>
          <w:b/>
          <w:bCs/>
        </w:rPr>
        <w:t>2</w:t>
      </w:r>
    </w:p>
    <w:p w14:paraId="68D103C3" w14:textId="77777777" w:rsidR="00D93872" w:rsidRDefault="00504F29">
      <w:pPr>
        <w:jc w:val="center"/>
      </w:pPr>
      <w:r>
        <w:rPr>
          <w:noProof/>
        </w:rPr>
        <w:drawing>
          <wp:inline distT="0" distB="0" distL="114300" distR="114300" wp14:anchorId="48BCA0CE" wp14:editId="0771DAB4">
            <wp:extent cx="6114415" cy="4323715"/>
            <wp:effectExtent l="0" t="0" r="635" b="635"/>
            <wp:docPr id="2" name="Imagem 2" descr="Mancha Populacional -  diversos municip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Mancha Populacional -  diversos municipios"/>
                    <pic:cNvPicPr>
                      <a:picLocks noChangeAspect="1"/>
                    </pic:cNvPicPr>
                  </pic:nvPicPr>
                  <pic:blipFill>
                    <a:blip r:embed="rId10"/>
                    <a:stretch>
                      <a:fillRect/>
                    </a:stretch>
                  </pic:blipFill>
                  <pic:spPr>
                    <a:xfrm>
                      <a:off x="0" y="0"/>
                      <a:ext cx="6114415" cy="4323715"/>
                    </a:xfrm>
                    <a:prstGeom prst="rect">
                      <a:avLst/>
                    </a:prstGeom>
                  </pic:spPr>
                </pic:pic>
              </a:graphicData>
            </a:graphic>
          </wp:inline>
        </w:drawing>
      </w:r>
    </w:p>
    <w:p w14:paraId="358A34D8" w14:textId="77777777" w:rsidR="00D93872" w:rsidRDefault="00504F29">
      <w:pPr>
        <w:pStyle w:val="Default"/>
        <w:jc w:val="both"/>
        <w:rPr>
          <w:rFonts w:ascii="Arial" w:hAnsi="Arial" w:cs="Arial"/>
          <w:color w:val="000000" w:themeColor="text1"/>
        </w:rPr>
      </w:pPr>
      <w:r>
        <w:rPr>
          <w:rFonts w:ascii="Arial" w:hAnsi="Arial" w:cs="Arial"/>
          <w:color w:val="000000" w:themeColor="text1"/>
        </w:rPr>
        <w:t>Nesse sentido, a instalação de reservatórios de acumulação de água nas regiões abatidas por longos períodos de seca se apresenta como uma solução importante e de baixo custo para atender produtores rurais de pouca capacidade econômica e que dependem do trabalho rural para sua sobrevivência.</w:t>
      </w:r>
    </w:p>
    <w:p w14:paraId="121A169E" w14:textId="77777777" w:rsidR="00D93872" w:rsidRDefault="00D93872">
      <w:pPr>
        <w:pStyle w:val="Default"/>
        <w:jc w:val="both"/>
        <w:rPr>
          <w:rFonts w:ascii="Arial" w:hAnsi="Arial" w:cs="Arial"/>
          <w:color w:val="000000" w:themeColor="text1"/>
        </w:rPr>
      </w:pPr>
    </w:p>
    <w:p w14:paraId="0DE25E34"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Adicionalmente, há urgência na adoção de medidas capazes de melhorar a qualidade de vida das populações afetadas pela seca e pela falta de acesso a água em condições adequadas, principalmente nas comunidades localizadas de forma dispersa pelo semiárido baiano. As constantes estiagens, cada vez mais longas em face dos efeitos do aquecimento </w:t>
      </w:r>
      <w:r>
        <w:rPr>
          <w:rFonts w:ascii="Arial" w:hAnsi="Arial" w:cs="Arial"/>
          <w:color w:val="000000" w:themeColor="text1"/>
        </w:rPr>
        <w:lastRenderedPageBreak/>
        <w:t>global, provocam danos irreparáveis à saúde das pessoas, o colapso das atividades produtivas, sobretudo na pecuária, e dificulta a fixação das famílias no campo.</w:t>
      </w:r>
    </w:p>
    <w:p w14:paraId="4044AA36" w14:textId="77777777" w:rsidR="00D93872" w:rsidRDefault="00D93872">
      <w:pPr>
        <w:pStyle w:val="Default"/>
        <w:jc w:val="both"/>
        <w:rPr>
          <w:rFonts w:ascii="Arial" w:hAnsi="Arial" w:cs="Arial"/>
          <w:color w:val="000000" w:themeColor="text1"/>
        </w:rPr>
      </w:pPr>
    </w:p>
    <w:p w14:paraId="2542B1BC" w14:textId="54390A84" w:rsidR="00D93872" w:rsidRDefault="00504F29">
      <w:pPr>
        <w:pStyle w:val="Legenda"/>
        <w:spacing w:after="0"/>
        <w:jc w:val="center"/>
        <w:rPr>
          <w:b/>
          <w:bCs/>
          <w:i/>
          <w:iCs/>
          <w:color w:val="000000" w:themeColor="text1"/>
        </w:rPr>
      </w:pPr>
      <w:r>
        <w:rPr>
          <w:b/>
          <w:bCs/>
          <w:i/>
          <w:iCs/>
        </w:rPr>
        <w:t xml:space="preserve">Figura </w:t>
      </w:r>
      <w:r w:rsidR="0054768A">
        <w:rPr>
          <w:b/>
          <w:bCs/>
          <w:i/>
          <w:iCs/>
        </w:rPr>
        <w:t>3</w:t>
      </w:r>
    </w:p>
    <w:p w14:paraId="0AA94427" w14:textId="77777777" w:rsidR="00D93872" w:rsidRDefault="00504F29">
      <w:pPr>
        <w:pStyle w:val="Default"/>
        <w:jc w:val="center"/>
        <w:rPr>
          <w:rFonts w:ascii="Arial" w:hAnsi="Arial" w:cs="Arial"/>
          <w:b/>
          <w:bCs/>
          <w:i/>
          <w:iCs/>
          <w:color w:val="000000" w:themeColor="text1"/>
        </w:rPr>
      </w:pPr>
      <w:r>
        <w:rPr>
          <w:rFonts w:ascii="Arial" w:hAnsi="Arial" w:cs="Arial"/>
          <w:b/>
          <w:bCs/>
          <w:i/>
          <w:iCs/>
          <w:noProof/>
          <w:color w:val="000000" w:themeColor="text1"/>
        </w:rPr>
        <w:drawing>
          <wp:inline distT="0" distB="0" distL="114300" distR="114300" wp14:anchorId="35DFD307" wp14:editId="66AF90C0">
            <wp:extent cx="6114415" cy="4323715"/>
            <wp:effectExtent l="0" t="0" r="635" b="635"/>
            <wp:docPr id="4" name="Imagem 4" descr="Biomas - diversos municip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Biomas - diversos municipios"/>
                    <pic:cNvPicPr>
                      <a:picLocks noChangeAspect="1"/>
                    </pic:cNvPicPr>
                  </pic:nvPicPr>
                  <pic:blipFill>
                    <a:blip r:embed="rId11"/>
                    <a:stretch>
                      <a:fillRect/>
                    </a:stretch>
                  </pic:blipFill>
                  <pic:spPr>
                    <a:xfrm>
                      <a:off x="0" y="0"/>
                      <a:ext cx="6114415" cy="4323715"/>
                    </a:xfrm>
                    <a:prstGeom prst="rect">
                      <a:avLst/>
                    </a:prstGeom>
                  </pic:spPr>
                </pic:pic>
              </a:graphicData>
            </a:graphic>
          </wp:inline>
        </w:drawing>
      </w:r>
    </w:p>
    <w:p w14:paraId="1AA85141" w14:textId="77777777" w:rsidR="00D93872" w:rsidRDefault="00D93872">
      <w:pPr>
        <w:pStyle w:val="Default"/>
        <w:jc w:val="center"/>
        <w:rPr>
          <w:rFonts w:ascii="Arial" w:hAnsi="Arial" w:cs="Arial"/>
          <w:b/>
          <w:bCs/>
          <w:i/>
          <w:iCs/>
          <w:color w:val="000000" w:themeColor="text1"/>
        </w:rPr>
      </w:pPr>
    </w:p>
    <w:p w14:paraId="4641F039"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Com efeito, há diversas localidades candidatas a se beneficiarem pela instalação de reservatório de acúmulo de água na área de abrangência da Codevasf, e não somente restritas às áreas da Caatinga, mas também do Cerrado. Vale ressaltar que esses serviços se enquadram na linha de negócio de Infraestrutura Hídrica, visando o aumento da oferta de água para usos múltiplos em municípios na área de atuação da 2ª Superintendência Regional. </w:t>
      </w:r>
    </w:p>
    <w:p w14:paraId="6AA98ABA" w14:textId="77777777" w:rsidR="00D93872" w:rsidRDefault="00D93872">
      <w:pPr>
        <w:pStyle w:val="Default"/>
        <w:jc w:val="both"/>
        <w:rPr>
          <w:rFonts w:ascii="Arial" w:hAnsi="Arial" w:cs="Arial"/>
          <w:color w:val="000000" w:themeColor="text1"/>
        </w:rPr>
      </w:pPr>
    </w:p>
    <w:p w14:paraId="053C017A" w14:textId="77777777" w:rsidR="00D93872" w:rsidRDefault="00504F29">
      <w:pPr>
        <w:pStyle w:val="Ttulo1"/>
        <w:rPr>
          <w:rFonts w:cs="Arial"/>
          <w:color w:val="000000" w:themeColor="text1"/>
          <w:sz w:val="24"/>
        </w:rPr>
      </w:pPr>
      <w:bookmarkStart w:id="5" w:name="_Ref81407314"/>
      <w:bookmarkStart w:id="6" w:name="_Toc81472273"/>
      <w:r>
        <w:rPr>
          <w:rFonts w:cs="Arial"/>
          <w:color w:val="000000" w:themeColor="text1"/>
          <w:sz w:val="24"/>
        </w:rPr>
        <w:t>DEFINIÇÃO DA DEMANDA</w:t>
      </w:r>
      <w:bookmarkEnd w:id="5"/>
      <w:bookmarkEnd w:id="6"/>
    </w:p>
    <w:p w14:paraId="6A115B1E"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36E177C6" w14:textId="77777777" w:rsidR="00D93872" w:rsidRDefault="00504F29">
      <w:pPr>
        <w:autoSpaceDE w:val="0"/>
        <w:autoSpaceDN w:val="0"/>
        <w:adjustRightInd w:val="0"/>
        <w:spacing w:after="0" w:line="240" w:lineRule="auto"/>
        <w:jc w:val="both"/>
        <w:rPr>
          <w:rFonts w:ascii="Arial" w:hAnsi="Arial"/>
          <w:color w:val="000000" w:themeColor="text1"/>
          <w:sz w:val="24"/>
          <w:szCs w:val="24"/>
        </w:rPr>
      </w:pPr>
      <w:r>
        <w:rPr>
          <w:rFonts w:ascii="Arial" w:hAnsi="Arial" w:cs="Arial"/>
          <w:color w:val="000000" w:themeColor="text1"/>
          <w:sz w:val="24"/>
          <w:szCs w:val="24"/>
        </w:rPr>
        <w:t>Este ETP dispõe sobre a c</w:t>
      </w:r>
      <w:r>
        <w:rPr>
          <w:rFonts w:ascii="Arial" w:hAnsi="Arial"/>
          <w:color w:val="000000" w:themeColor="text1"/>
          <w:sz w:val="24"/>
          <w:szCs w:val="24"/>
        </w:rPr>
        <w:t>ontratação de empresa para 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p w14:paraId="02BCB3A9" w14:textId="77777777" w:rsidR="00D93872" w:rsidRDefault="00D93872">
      <w:pPr>
        <w:pStyle w:val="Default"/>
        <w:jc w:val="both"/>
        <w:rPr>
          <w:rFonts w:ascii="Arial" w:hAnsi="Arial" w:cs="Arial"/>
          <w:color w:val="000000" w:themeColor="text1"/>
        </w:rPr>
      </w:pPr>
    </w:p>
    <w:p w14:paraId="1C450DDF"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Tal demanda originou-se a partir de recursos de execução orçamentária de caráter impositivo, previstos na Lei Orçamentário Anual de 2023, destinados ao atendimento de políticas públicas voltadas para a solução das carências do semiárido nordestino e região </w:t>
      </w:r>
      <w:r>
        <w:rPr>
          <w:rFonts w:ascii="Arial" w:hAnsi="Arial" w:cs="Arial"/>
          <w:color w:val="000000" w:themeColor="text1"/>
        </w:rPr>
        <w:lastRenderedPageBreak/>
        <w:t>adjacentes. No bojo de ações da linha de negócio da Codevasf, a execução de serviços de construção de aguadas serve como instrumento de intervenção para melhoria da infraestrutura rural para segurança hídrica e para inclusão produtiva de comunidades rurais difusas.</w:t>
      </w:r>
    </w:p>
    <w:p w14:paraId="2031F5B0" w14:textId="77777777" w:rsidR="00D93872" w:rsidRDefault="00D93872">
      <w:pPr>
        <w:pStyle w:val="Default"/>
        <w:jc w:val="both"/>
        <w:rPr>
          <w:rFonts w:ascii="Arial" w:hAnsi="Arial" w:cs="Arial"/>
          <w:color w:val="000000" w:themeColor="text1"/>
        </w:rPr>
      </w:pPr>
    </w:p>
    <w:p w14:paraId="37AB2AF8" w14:textId="77777777" w:rsidR="00D93872" w:rsidRDefault="00504F29">
      <w:pPr>
        <w:pStyle w:val="Default"/>
        <w:jc w:val="both"/>
        <w:rPr>
          <w:rFonts w:ascii="Arial" w:hAnsi="Arial" w:cs="Arial"/>
          <w:color w:val="000000" w:themeColor="text1"/>
        </w:rPr>
      </w:pPr>
      <w:r>
        <w:rPr>
          <w:rFonts w:ascii="Arial" w:hAnsi="Arial" w:cs="Arial"/>
          <w:color w:val="000000" w:themeColor="text1"/>
        </w:rPr>
        <w:t>Assim, identifica-se que há diversos municípios no âmbito da 2ª/SR com características suficientes para justificar a demanda por investimento em instalação de reservatórios para acúmulo de água. As localidades onde as ações serão executadas podem ser definidas em momento posterior à contratação, sob critério de prioridade a ser definido no termo de referência ou pela gestão estratégica da Codevasf, diante da disponibilidade orçamentária para executar o projeto padrão concebido.</w:t>
      </w:r>
    </w:p>
    <w:p w14:paraId="3C9C3141" w14:textId="77777777" w:rsidR="00D93872" w:rsidRDefault="00D93872">
      <w:pPr>
        <w:pStyle w:val="Default"/>
        <w:jc w:val="both"/>
        <w:rPr>
          <w:rFonts w:ascii="Arial" w:hAnsi="Arial" w:cs="Arial"/>
          <w:color w:val="000000" w:themeColor="text1"/>
        </w:rPr>
      </w:pPr>
    </w:p>
    <w:p w14:paraId="4F1A5730" w14:textId="77777777" w:rsidR="00D93872" w:rsidRDefault="00D93872">
      <w:pPr>
        <w:pStyle w:val="Default"/>
        <w:jc w:val="both"/>
        <w:rPr>
          <w:rFonts w:ascii="Arial" w:hAnsi="Arial" w:cs="Arial"/>
          <w:color w:val="000000" w:themeColor="text1"/>
        </w:rPr>
      </w:pPr>
    </w:p>
    <w:p w14:paraId="408FBEB4" w14:textId="77777777" w:rsidR="00D93872" w:rsidRDefault="00504F29">
      <w:pPr>
        <w:pStyle w:val="Ttulo1"/>
        <w:rPr>
          <w:rFonts w:cs="Arial"/>
          <w:color w:val="000000" w:themeColor="text1"/>
          <w:sz w:val="24"/>
        </w:rPr>
      </w:pPr>
      <w:bookmarkStart w:id="7" w:name="_Toc81472274"/>
      <w:bookmarkStart w:id="8" w:name="_Ref81407315"/>
      <w:r>
        <w:rPr>
          <w:rFonts w:cs="Arial"/>
          <w:color w:val="000000" w:themeColor="text1"/>
          <w:sz w:val="24"/>
        </w:rPr>
        <w:t>REQUISITOS NECESSÁRIOS À SOLUÇÃO</w:t>
      </w:r>
      <w:bookmarkEnd w:id="7"/>
      <w:bookmarkEnd w:id="8"/>
    </w:p>
    <w:p w14:paraId="6593D94D" w14:textId="77777777" w:rsidR="00D93872" w:rsidRDefault="00D93872">
      <w:pPr>
        <w:pStyle w:val="PargrafodaLista"/>
        <w:autoSpaceDE w:val="0"/>
        <w:autoSpaceDN w:val="0"/>
        <w:adjustRightInd w:val="0"/>
        <w:spacing w:after="0" w:line="240" w:lineRule="auto"/>
        <w:jc w:val="both"/>
        <w:rPr>
          <w:rFonts w:ascii="Arial" w:hAnsi="Arial" w:cs="Arial"/>
          <w:b/>
          <w:bCs/>
          <w:color w:val="000000" w:themeColor="text1"/>
          <w:sz w:val="24"/>
          <w:szCs w:val="24"/>
        </w:rPr>
      </w:pPr>
    </w:p>
    <w:p w14:paraId="74045DF9" w14:textId="77777777" w:rsidR="00D93872" w:rsidRDefault="00504F29">
      <w:pPr>
        <w:pStyle w:val="Default"/>
        <w:jc w:val="both"/>
        <w:rPr>
          <w:rFonts w:ascii="Arial" w:hAnsi="Arial" w:cs="Arial"/>
          <w:color w:val="000000" w:themeColor="text1"/>
        </w:rPr>
      </w:pPr>
      <w:r>
        <w:rPr>
          <w:rFonts w:ascii="Arial" w:hAnsi="Arial" w:cs="Arial"/>
          <w:color w:val="000000" w:themeColor="text1"/>
        </w:rPr>
        <w:t>A CODEVASF tem entre suas atribuições dar as diretrizes para os projetos e ações de desenvolvimento integrado e infraestrutura nas áreas de sua atuação, bem como cuidar de sua gestão. Cabe a Área de Desenvolvimento Integrado e Infraestrutura da empresa coordenar as ações de articulação e integração com os demais órgãos públicos, privados e sociedade civil organizada, envolvidos com a revitalização e com a gestão territorial das bacias hidrográficas.</w:t>
      </w:r>
    </w:p>
    <w:p w14:paraId="66961516" w14:textId="77777777" w:rsidR="00D93872" w:rsidRDefault="00D93872">
      <w:pPr>
        <w:pStyle w:val="Default"/>
        <w:jc w:val="both"/>
        <w:rPr>
          <w:rFonts w:ascii="Arial" w:hAnsi="Arial" w:cs="Arial"/>
          <w:color w:val="000000" w:themeColor="text1"/>
        </w:rPr>
      </w:pPr>
    </w:p>
    <w:p w14:paraId="26B3E21B" w14:textId="77777777" w:rsidR="00D93872" w:rsidRDefault="00504F29">
      <w:pPr>
        <w:pStyle w:val="Default"/>
        <w:jc w:val="both"/>
        <w:rPr>
          <w:rFonts w:ascii="Arial" w:hAnsi="Arial"/>
          <w:color w:val="000000" w:themeColor="text1"/>
        </w:rPr>
      </w:pPr>
      <w:r>
        <w:rPr>
          <w:rFonts w:ascii="Arial" w:hAnsi="Arial" w:cs="Arial"/>
          <w:color w:val="000000" w:themeColor="text1"/>
        </w:rPr>
        <w:t xml:space="preserve">Pretende-se contratar empresa(s) idônea(s) para execução dos serviços propostos, visando atender demanda oriunda de emendas parlamentares e necessidades da população da área de abrangência da 2ª Superintendência Regional da Codevasf, no que se refere à </w:t>
      </w:r>
      <w:r>
        <w:rPr>
          <w:rFonts w:ascii="Arial" w:hAnsi="Arial"/>
          <w:color w:val="000000" w:themeColor="text1"/>
        </w:rPr>
        <w:t>implantação de reservatórios para acúmulo de água em comunidades de caráter rural em diversos municípios do estado da Bahia.</w:t>
      </w:r>
    </w:p>
    <w:p w14:paraId="5DF5FBFA" w14:textId="77777777" w:rsidR="00D93872" w:rsidRDefault="00D93872">
      <w:pPr>
        <w:pStyle w:val="Default"/>
        <w:jc w:val="both"/>
        <w:rPr>
          <w:rFonts w:ascii="Arial" w:hAnsi="Arial"/>
          <w:color w:val="000000" w:themeColor="text1"/>
        </w:rPr>
      </w:pPr>
    </w:p>
    <w:p w14:paraId="40D07B50" w14:textId="77777777" w:rsidR="00D93872" w:rsidRDefault="00504F29">
      <w:pPr>
        <w:pStyle w:val="Default"/>
        <w:jc w:val="both"/>
        <w:rPr>
          <w:rFonts w:ascii="Arial" w:hAnsi="Arial" w:cs="Arial"/>
          <w:color w:val="000000" w:themeColor="text1"/>
        </w:rPr>
      </w:pPr>
      <w:r>
        <w:rPr>
          <w:rFonts w:ascii="Arial" w:hAnsi="Arial" w:cs="Arial"/>
          <w:color w:val="000000" w:themeColor="text1"/>
        </w:rPr>
        <w:t>Além disso, a contratação deve atender a critérios mínimos de qualidade e sustentabilidade, de modo a possibilitar a seleção da proposta mais vantajosa, mediante ampla competição.</w:t>
      </w:r>
    </w:p>
    <w:p w14:paraId="19178F92" w14:textId="77777777" w:rsidR="00D93872" w:rsidRDefault="00D93872">
      <w:pPr>
        <w:pStyle w:val="Default"/>
        <w:jc w:val="both"/>
        <w:rPr>
          <w:rFonts w:ascii="Arial" w:hAnsi="Arial" w:cs="Arial"/>
          <w:color w:val="000000" w:themeColor="text1"/>
        </w:rPr>
      </w:pPr>
    </w:p>
    <w:p w14:paraId="37EB8FE8" w14:textId="77777777" w:rsidR="00D93872" w:rsidRDefault="00D93872">
      <w:pPr>
        <w:pStyle w:val="PargrafodaLista"/>
        <w:numPr>
          <w:ilvl w:val="0"/>
          <w:numId w:val="6"/>
        </w:numPr>
        <w:autoSpaceDE w:val="0"/>
        <w:autoSpaceDN w:val="0"/>
        <w:adjustRightInd w:val="0"/>
        <w:spacing w:after="0" w:line="240" w:lineRule="auto"/>
        <w:jc w:val="both"/>
        <w:rPr>
          <w:rFonts w:ascii="Arial" w:hAnsi="Arial" w:cs="Arial"/>
          <w:vanish/>
          <w:color w:val="000000" w:themeColor="text1"/>
          <w:sz w:val="24"/>
          <w:szCs w:val="24"/>
        </w:rPr>
      </w:pPr>
    </w:p>
    <w:p w14:paraId="62FC9623" w14:textId="77777777" w:rsidR="00D93872" w:rsidRDefault="00D93872">
      <w:pPr>
        <w:pStyle w:val="PargrafodaLista"/>
        <w:numPr>
          <w:ilvl w:val="0"/>
          <w:numId w:val="6"/>
        </w:numPr>
        <w:autoSpaceDE w:val="0"/>
        <w:autoSpaceDN w:val="0"/>
        <w:adjustRightInd w:val="0"/>
        <w:spacing w:after="0" w:line="240" w:lineRule="auto"/>
        <w:jc w:val="both"/>
        <w:rPr>
          <w:rFonts w:ascii="Arial" w:hAnsi="Arial" w:cs="Arial"/>
          <w:vanish/>
          <w:color w:val="000000" w:themeColor="text1"/>
          <w:sz w:val="24"/>
          <w:szCs w:val="24"/>
        </w:rPr>
      </w:pPr>
    </w:p>
    <w:p w14:paraId="0F18BB46" w14:textId="77777777" w:rsidR="00D93872" w:rsidRDefault="00D93872">
      <w:pPr>
        <w:pStyle w:val="PargrafodaLista"/>
        <w:numPr>
          <w:ilvl w:val="0"/>
          <w:numId w:val="6"/>
        </w:numPr>
        <w:autoSpaceDE w:val="0"/>
        <w:autoSpaceDN w:val="0"/>
        <w:adjustRightInd w:val="0"/>
        <w:spacing w:after="0" w:line="240" w:lineRule="auto"/>
        <w:jc w:val="both"/>
        <w:rPr>
          <w:rFonts w:ascii="Arial" w:hAnsi="Arial" w:cs="Arial"/>
          <w:vanish/>
          <w:color w:val="000000" w:themeColor="text1"/>
          <w:sz w:val="24"/>
          <w:szCs w:val="24"/>
        </w:rPr>
      </w:pPr>
    </w:p>
    <w:p w14:paraId="42D517E3" w14:textId="77777777" w:rsidR="00D93872" w:rsidRDefault="00D93872">
      <w:pPr>
        <w:pStyle w:val="PargrafodaLista"/>
        <w:numPr>
          <w:ilvl w:val="0"/>
          <w:numId w:val="6"/>
        </w:numPr>
        <w:autoSpaceDE w:val="0"/>
        <w:autoSpaceDN w:val="0"/>
        <w:adjustRightInd w:val="0"/>
        <w:spacing w:after="0" w:line="240" w:lineRule="auto"/>
        <w:jc w:val="both"/>
        <w:rPr>
          <w:rFonts w:ascii="Arial" w:hAnsi="Arial" w:cs="Arial"/>
          <w:vanish/>
          <w:color w:val="000000" w:themeColor="text1"/>
          <w:sz w:val="24"/>
          <w:szCs w:val="24"/>
        </w:rPr>
      </w:pPr>
    </w:p>
    <w:p w14:paraId="040246CC" w14:textId="77777777" w:rsidR="00D93872" w:rsidRDefault="00D93872">
      <w:pPr>
        <w:pStyle w:val="PargrafodaLista"/>
        <w:numPr>
          <w:ilvl w:val="0"/>
          <w:numId w:val="6"/>
        </w:numPr>
        <w:autoSpaceDE w:val="0"/>
        <w:autoSpaceDN w:val="0"/>
        <w:adjustRightInd w:val="0"/>
        <w:spacing w:after="0" w:line="240" w:lineRule="auto"/>
        <w:jc w:val="both"/>
        <w:rPr>
          <w:rFonts w:ascii="Arial" w:hAnsi="Arial" w:cs="Arial"/>
          <w:vanish/>
          <w:color w:val="000000" w:themeColor="text1"/>
          <w:sz w:val="24"/>
          <w:szCs w:val="24"/>
        </w:rPr>
      </w:pPr>
    </w:p>
    <w:p w14:paraId="66629FBA" w14:textId="77777777" w:rsidR="00D93872" w:rsidRDefault="00504F29">
      <w:pPr>
        <w:pStyle w:val="PargrafodaLista"/>
        <w:numPr>
          <w:ilvl w:val="1"/>
          <w:numId w:val="6"/>
        </w:numPr>
        <w:autoSpaceDE w:val="0"/>
        <w:autoSpaceDN w:val="0"/>
        <w:adjustRightInd w:val="0"/>
        <w:spacing w:after="0" w:line="240" w:lineRule="auto"/>
        <w:ind w:left="567" w:hanging="567"/>
        <w:jc w:val="both"/>
        <w:rPr>
          <w:rFonts w:ascii="Arial" w:hAnsi="Arial" w:cs="Arial"/>
          <w:color w:val="000000" w:themeColor="text1"/>
          <w:sz w:val="24"/>
          <w:szCs w:val="24"/>
        </w:rPr>
      </w:pPr>
      <w:r>
        <w:rPr>
          <w:rFonts w:ascii="Arial" w:hAnsi="Arial" w:cs="Arial"/>
          <w:color w:val="000000" w:themeColor="text1"/>
          <w:sz w:val="24"/>
          <w:szCs w:val="24"/>
        </w:rPr>
        <w:t>Nível de qualidade</w:t>
      </w:r>
    </w:p>
    <w:p w14:paraId="7096956F" w14:textId="77777777" w:rsidR="00D93872" w:rsidRDefault="00504F29">
      <w:pPr>
        <w:pStyle w:val="PargrafodaLista"/>
        <w:autoSpaceDE w:val="0"/>
        <w:autoSpaceDN w:val="0"/>
        <w:adjustRightInd w:val="0"/>
        <w:spacing w:after="0" w:line="240" w:lineRule="auto"/>
        <w:ind w:left="0"/>
        <w:jc w:val="both"/>
        <w:rPr>
          <w:rFonts w:ascii="Arial" w:hAnsi="Arial" w:cs="Arial"/>
          <w:color w:val="000000" w:themeColor="text1"/>
          <w:sz w:val="24"/>
          <w:szCs w:val="24"/>
        </w:rPr>
      </w:pPr>
      <w:r>
        <w:rPr>
          <w:rFonts w:ascii="Arial" w:hAnsi="Arial" w:cs="Arial"/>
          <w:color w:val="000000" w:themeColor="text1"/>
          <w:sz w:val="24"/>
          <w:szCs w:val="24"/>
        </w:rPr>
        <w:t xml:space="preserve">A execução atender aos normativos e especificações técnicas cabíveis à </w:t>
      </w:r>
      <w:r>
        <w:rPr>
          <w:rFonts w:ascii="Arial" w:hAnsi="Arial"/>
          <w:color w:val="000000" w:themeColor="text1"/>
          <w:sz w:val="24"/>
          <w:szCs w:val="24"/>
        </w:rPr>
        <w:t>escavação em solo de 1ª categoria, objetivando à implantação de reservatórios para acúmulo de água</w:t>
      </w:r>
      <w:r>
        <w:rPr>
          <w:rFonts w:ascii="Arial" w:hAnsi="Arial" w:cs="Arial"/>
          <w:color w:val="000000" w:themeColor="text1"/>
          <w:sz w:val="24"/>
          <w:szCs w:val="24"/>
        </w:rPr>
        <w:t>, com amplo conhecimento do mercado ou indicados no Termo de Referência.</w:t>
      </w:r>
    </w:p>
    <w:p w14:paraId="5BEFAE9F" w14:textId="77777777" w:rsidR="00D93872" w:rsidRDefault="00D93872">
      <w:pPr>
        <w:pStyle w:val="PargrafodaLista"/>
        <w:autoSpaceDE w:val="0"/>
        <w:autoSpaceDN w:val="0"/>
        <w:adjustRightInd w:val="0"/>
        <w:spacing w:after="0" w:line="240" w:lineRule="auto"/>
        <w:ind w:left="0"/>
        <w:jc w:val="both"/>
        <w:rPr>
          <w:rFonts w:ascii="Arial" w:hAnsi="Arial" w:cs="Arial"/>
          <w:color w:val="000000" w:themeColor="text1"/>
          <w:sz w:val="24"/>
          <w:szCs w:val="24"/>
        </w:rPr>
      </w:pPr>
    </w:p>
    <w:p w14:paraId="150AE7CD" w14:textId="77777777" w:rsidR="00D93872" w:rsidRDefault="00504F29">
      <w:pPr>
        <w:pStyle w:val="PargrafodaLista"/>
        <w:numPr>
          <w:ilvl w:val="1"/>
          <w:numId w:val="6"/>
        </w:numPr>
        <w:autoSpaceDE w:val="0"/>
        <w:autoSpaceDN w:val="0"/>
        <w:adjustRightInd w:val="0"/>
        <w:spacing w:after="0" w:line="240" w:lineRule="auto"/>
        <w:ind w:left="567" w:hanging="567"/>
        <w:jc w:val="both"/>
        <w:rPr>
          <w:rFonts w:ascii="Arial" w:hAnsi="Arial" w:cs="Arial"/>
          <w:color w:val="000000" w:themeColor="text1"/>
          <w:sz w:val="24"/>
          <w:szCs w:val="24"/>
        </w:rPr>
      </w:pPr>
      <w:r>
        <w:rPr>
          <w:rFonts w:ascii="Arial" w:hAnsi="Arial" w:cs="Arial"/>
          <w:color w:val="000000" w:themeColor="text1"/>
          <w:sz w:val="24"/>
          <w:szCs w:val="24"/>
        </w:rPr>
        <w:t>Sustentabilidade</w:t>
      </w:r>
    </w:p>
    <w:p w14:paraId="5E6B5560" w14:textId="77777777" w:rsidR="00D93872" w:rsidRDefault="00504F29">
      <w:pPr>
        <w:pStyle w:val="PargrafodaLista"/>
        <w:autoSpaceDE w:val="0"/>
        <w:autoSpaceDN w:val="0"/>
        <w:adjustRightInd w:val="0"/>
        <w:spacing w:after="0" w:line="240" w:lineRule="auto"/>
        <w:ind w:left="0"/>
        <w:jc w:val="both"/>
        <w:rPr>
          <w:rFonts w:ascii="Arial" w:hAnsi="Arial" w:cs="Arial"/>
          <w:color w:val="000000" w:themeColor="text1"/>
          <w:sz w:val="24"/>
          <w:szCs w:val="24"/>
        </w:rPr>
      </w:pPr>
      <w:r>
        <w:rPr>
          <w:rFonts w:ascii="Arial" w:hAnsi="Arial" w:cs="Arial"/>
          <w:color w:val="000000" w:themeColor="text1"/>
          <w:sz w:val="24"/>
          <w:szCs w:val="24"/>
        </w:rPr>
        <w:t>A execução deverá atender a Instrução Normativa SLTI/MP nº 001/2010.</w:t>
      </w:r>
    </w:p>
    <w:p w14:paraId="56B71CAA" w14:textId="77777777" w:rsidR="00D93872" w:rsidRDefault="00D93872">
      <w:pPr>
        <w:pStyle w:val="PargrafodaLista"/>
        <w:autoSpaceDE w:val="0"/>
        <w:autoSpaceDN w:val="0"/>
        <w:adjustRightInd w:val="0"/>
        <w:spacing w:after="0" w:line="240" w:lineRule="auto"/>
        <w:ind w:left="0"/>
        <w:jc w:val="both"/>
        <w:rPr>
          <w:rFonts w:ascii="Arial" w:hAnsi="Arial" w:cs="Arial"/>
          <w:color w:val="000000" w:themeColor="text1"/>
          <w:sz w:val="24"/>
          <w:szCs w:val="24"/>
        </w:rPr>
      </w:pPr>
    </w:p>
    <w:p w14:paraId="49D388F6" w14:textId="77777777" w:rsidR="00D93872" w:rsidRDefault="00504F29">
      <w:pPr>
        <w:pStyle w:val="PargrafodaLista"/>
        <w:numPr>
          <w:ilvl w:val="1"/>
          <w:numId w:val="6"/>
        </w:numPr>
        <w:autoSpaceDE w:val="0"/>
        <w:autoSpaceDN w:val="0"/>
        <w:adjustRightInd w:val="0"/>
        <w:spacing w:after="0" w:line="240" w:lineRule="auto"/>
        <w:ind w:left="567" w:hanging="567"/>
        <w:jc w:val="both"/>
        <w:rPr>
          <w:rFonts w:ascii="Arial" w:hAnsi="Arial" w:cs="Arial"/>
          <w:color w:val="000000" w:themeColor="text1"/>
          <w:sz w:val="24"/>
          <w:szCs w:val="24"/>
        </w:rPr>
      </w:pPr>
      <w:r>
        <w:rPr>
          <w:rFonts w:ascii="Arial" w:hAnsi="Arial" w:cs="Arial"/>
          <w:color w:val="000000" w:themeColor="text1"/>
          <w:sz w:val="24"/>
          <w:szCs w:val="24"/>
        </w:rPr>
        <w:t>Dos normativos que disciplinam a contratação:</w:t>
      </w:r>
    </w:p>
    <w:p w14:paraId="533A3216"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O procedimento obedecerá, integralmente, aos seguintes normativos:</w:t>
      </w:r>
    </w:p>
    <w:p w14:paraId="7AA06555"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765C6AEE" w14:textId="067E9D9E"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Lei nº 10.520/2022</w:t>
      </w:r>
      <w:r w:rsidR="009F33DE">
        <w:rPr>
          <w:rFonts w:ascii="Arial" w:hAnsi="Arial" w:cs="Arial"/>
          <w:color w:val="000000" w:themeColor="text1"/>
          <w:sz w:val="24"/>
          <w:szCs w:val="24"/>
        </w:rPr>
        <w:t>;</w:t>
      </w:r>
    </w:p>
    <w:p w14:paraId="527F32CE" w14:textId="77777777"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IN nº 40/2020;</w:t>
      </w:r>
    </w:p>
    <w:p w14:paraId="74CCFCE6" w14:textId="77777777"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Lei Complementar nº 123/2006;</w:t>
      </w:r>
    </w:p>
    <w:p w14:paraId="770EEB41" w14:textId="77777777"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Decreto nº 8.538/2015;</w:t>
      </w:r>
    </w:p>
    <w:p w14:paraId="12640571" w14:textId="77777777"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 xml:space="preserve">Decreto nº 7.983/2013; </w:t>
      </w:r>
    </w:p>
    <w:p w14:paraId="22317806" w14:textId="77777777"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lastRenderedPageBreak/>
        <w:t>Decreto nº 10.024/2019; e</w:t>
      </w:r>
    </w:p>
    <w:p w14:paraId="5ED64BF4" w14:textId="77777777" w:rsidR="00D93872" w:rsidRDefault="00504F29">
      <w:pPr>
        <w:pStyle w:val="PargrafodaLista"/>
        <w:numPr>
          <w:ilvl w:val="0"/>
          <w:numId w:val="7"/>
        </w:numPr>
        <w:autoSpaceDE w:val="0"/>
        <w:autoSpaceDN w:val="0"/>
        <w:adjustRightInd w:val="0"/>
        <w:spacing w:after="0" w:line="240" w:lineRule="auto"/>
        <w:jc w:val="both"/>
        <w:rPr>
          <w:rFonts w:ascii="Arial" w:hAnsi="Arial" w:cs="Arial"/>
          <w:color w:val="000000" w:themeColor="text1"/>
          <w:sz w:val="24"/>
          <w:szCs w:val="24"/>
        </w:rPr>
      </w:pPr>
      <w:r>
        <w:rPr>
          <w:rFonts w:ascii="Arial" w:hAnsi="Arial"/>
          <w:color w:val="000000" w:themeColor="text1"/>
          <w:sz w:val="24"/>
          <w:szCs w:val="24"/>
        </w:rPr>
        <w:t>Decreto nº 7.892/2013 – SRP.</w:t>
      </w:r>
    </w:p>
    <w:p w14:paraId="5E2CBE4F"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758DC166" w14:textId="77777777" w:rsidR="00D93872" w:rsidRDefault="00504F29">
      <w:pPr>
        <w:pStyle w:val="PargrafodaLista"/>
        <w:autoSpaceDE w:val="0"/>
        <w:autoSpaceDN w:val="0"/>
        <w:adjustRightInd w:val="0"/>
        <w:spacing w:after="0" w:line="240" w:lineRule="auto"/>
        <w:ind w:left="0"/>
        <w:jc w:val="both"/>
        <w:rPr>
          <w:rFonts w:ascii="Arial" w:hAnsi="Arial" w:cs="Arial"/>
          <w:color w:val="000000" w:themeColor="text1"/>
          <w:sz w:val="24"/>
          <w:szCs w:val="24"/>
        </w:rPr>
      </w:pPr>
      <w:r>
        <w:rPr>
          <w:rFonts w:ascii="Arial" w:hAnsi="Arial" w:cs="Arial"/>
          <w:color w:val="000000" w:themeColor="text1"/>
          <w:sz w:val="24"/>
          <w:szCs w:val="24"/>
        </w:rPr>
        <w:t>E de forma subsidiária, obedecerá à Lei nº 13.303/2016.</w:t>
      </w:r>
    </w:p>
    <w:p w14:paraId="1AB4BB73"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2287E992" w14:textId="77777777" w:rsidR="00D93872" w:rsidRDefault="00504F29">
      <w:pPr>
        <w:pStyle w:val="PargrafodaLista"/>
        <w:numPr>
          <w:ilvl w:val="1"/>
          <w:numId w:val="6"/>
        </w:numPr>
        <w:autoSpaceDE w:val="0"/>
        <w:autoSpaceDN w:val="0"/>
        <w:adjustRightInd w:val="0"/>
        <w:spacing w:after="0" w:line="240" w:lineRule="auto"/>
        <w:ind w:left="567" w:hanging="567"/>
        <w:jc w:val="both"/>
        <w:rPr>
          <w:rFonts w:ascii="Arial" w:hAnsi="Arial" w:cs="Arial"/>
          <w:color w:val="000000" w:themeColor="text1"/>
          <w:sz w:val="24"/>
          <w:szCs w:val="24"/>
        </w:rPr>
      </w:pPr>
      <w:r>
        <w:rPr>
          <w:rFonts w:ascii="Arial" w:hAnsi="Arial" w:cs="Arial"/>
          <w:color w:val="000000" w:themeColor="text1"/>
          <w:sz w:val="24"/>
          <w:szCs w:val="24"/>
        </w:rPr>
        <w:t>Motivação da contratação:</w:t>
      </w:r>
    </w:p>
    <w:p w14:paraId="531841C2" w14:textId="77777777" w:rsidR="00D93872" w:rsidRDefault="00D93872">
      <w:pPr>
        <w:pStyle w:val="PargrafodaLista"/>
        <w:autoSpaceDE w:val="0"/>
        <w:autoSpaceDN w:val="0"/>
        <w:adjustRightInd w:val="0"/>
        <w:spacing w:after="0" w:line="240" w:lineRule="auto"/>
        <w:ind w:left="567"/>
        <w:jc w:val="both"/>
        <w:rPr>
          <w:rFonts w:ascii="Arial" w:hAnsi="Arial" w:cs="Arial"/>
          <w:color w:val="000000" w:themeColor="text1"/>
          <w:sz w:val="24"/>
          <w:szCs w:val="24"/>
        </w:rPr>
      </w:pPr>
    </w:p>
    <w:p w14:paraId="649F8066" w14:textId="77777777" w:rsidR="00D93872" w:rsidRDefault="00504F29">
      <w:pPr>
        <w:pStyle w:val="PargrafodaLista"/>
        <w:numPr>
          <w:ilvl w:val="0"/>
          <w:numId w:val="8"/>
        </w:numPr>
        <w:spacing w:after="0" w:line="240" w:lineRule="auto"/>
        <w:ind w:hanging="720"/>
        <w:jc w:val="both"/>
        <w:rPr>
          <w:rFonts w:ascii="Arial" w:hAnsi="Arial" w:cs="Arial"/>
          <w:color w:val="000000" w:themeColor="text1"/>
          <w:sz w:val="24"/>
          <w:szCs w:val="24"/>
        </w:rPr>
      </w:pPr>
      <w:r>
        <w:rPr>
          <w:rFonts w:ascii="Arial" w:hAnsi="Arial" w:cs="Arial"/>
          <w:color w:val="000000" w:themeColor="text1"/>
          <w:sz w:val="24"/>
          <w:szCs w:val="24"/>
        </w:rPr>
        <w:t>Benefícios diretos e indiretos que resultarão da contratação:</w:t>
      </w:r>
    </w:p>
    <w:p w14:paraId="560DA97D"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s="Arial"/>
          <w:color w:val="000000" w:themeColor="text1"/>
          <w:sz w:val="24"/>
          <w:szCs w:val="24"/>
        </w:rPr>
        <w:t>Atender o direito humano fundamental de acesso à água, em qualidade e quantidade para consumo humano;</w:t>
      </w:r>
    </w:p>
    <w:p w14:paraId="652BF17B" w14:textId="77777777" w:rsidR="00D93872" w:rsidRDefault="00504F29">
      <w:pPr>
        <w:pStyle w:val="PargrafodaLista"/>
        <w:numPr>
          <w:ilvl w:val="0"/>
          <w:numId w:val="9"/>
        </w:numPr>
        <w:spacing w:line="240" w:lineRule="auto"/>
        <w:jc w:val="both"/>
        <w:rPr>
          <w:rFonts w:ascii="Arial" w:hAnsi="Arial"/>
          <w:color w:val="000000" w:themeColor="text1"/>
          <w:sz w:val="24"/>
          <w:szCs w:val="24"/>
        </w:rPr>
      </w:pPr>
      <w:r>
        <w:rPr>
          <w:rFonts w:ascii="Arial" w:hAnsi="Arial" w:cs="Arial"/>
          <w:color w:val="000000" w:themeColor="text1"/>
          <w:sz w:val="24"/>
          <w:szCs w:val="24"/>
        </w:rPr>
        <w:t>Atender às necessidades de produção da agricultura e pecuária familiar ou de subsistência;</w:t>
      </w:r>
    </w:p>
    <w:p w14:paraId="61DBEA0D" w14:textId="77777777" w:rsidR="00D93872" w:rsidRDefault="00504F29">
      <w:pPr>
        <w:pStyle w:val="PargrafodaLista"/>
        <w:numPr>
          <w:ilvl w:val="0"/>
          <w:numId w:val="9"/>
        </w:numPr>
        <w:spacing w:line="240" w:lineRule="auto"/>
        <w:jc w:val="both"/>
        <w:rPr>
          <w:rFonts w:ascii="Arial" w:hAnsi="Arial"/>
          <w:color w:val="000000" w:themeColor="text1"/>
          <w:sz w:val="24"/>
          <w:szCs w:val="24"/>
        </w:rPr>
      </w:pPr>
      <w:r>
        <w:rPr>
          <w:rFonts w:ascii="Arial" w:hAnsi="Arial"/>
          <w:color w:val="000000" w:themeColor="text1"/>
          <w:sz w:val="24"/>
          <w:szCs w:val="24"/>
        </w:rPr>
        <w:t>Minimizar os efeitos da seca e melhorar a produção agrícola na região;</w:t>
      </w:r>
    </w:p>
    <w:p w14:paraId="6C6A7720" w14:textId="11CF34E8" w:rsidR="00D93872" w:rsidRPr="00311D11" w:rsidRDefault="00504F29" w:rsidP="00311D11">
      <w:pPr>
        <w:pStyle w:val="PargrafodaLista"/>
        <w:numPr>
          <w:ilvl w:val="0"/>
          <w:numId w:val="9"/>
        </w:numPr>
        <w:spacing w:line="240" w:lineRule="auto"/>
        <w:jc w:val="both"/>
        <w:rPr>
          <w:rFonts w:ascii="Arial" w:hAnsi="Arial"/>
          <w:color w:val="000000" w:themeColor="text1"/>
          <w:sz w:val="24"/>
          <w:szCs w:val="24"/>
        </w:rPr>
      </w:pPr>
      <w:r>
        <w:rPr>
          <w:rFonts w:ascii="Arial" w:hAnsi="Arial"/>
          <w:color w:val="000000" w:themeColor="text1"/>
          <w:sz w:val="24"/>
          <w:szCs w:val="24"/>
        </w:rPr>
        <w:t>Garantir o acesso à água para dessedentação animal.</w:t>
      </w:r>
    </w:p>
    <w:p w14:paraId="4B68EEC6" w14:textId="14577428" w:rsidR="00D93872" w:rsidRDefault="00504F29">
      <w:pPr>
        <w:pStyle w:val="Default"/>
        <w:jc w:val="both"/>
        <w:rPr>
          <w:rFonts w:ascii="Arial" w:hAnsi="Arial" w:cs="Arial"/>
          <w:color w:val="000000" w:themeColor="text1"/>
        </w:rPr>
      </w:pPr>
      <w:r>
        <w:rPr>
          <w:rFonts w:ascii="Arial" w:hAnsi="Arial" w:cs="Arial"/>
          <w:color w:val="000000" w:themeColor="text1"/>
        </w:rPr>
        <w:t xml:space="preserve">O prazo para vigência do SRP será de 12 (doze) meses. O prazo de vigência dos contratos firmados decorrentes deste SRP </w:t>
      </w:r>
      <w:r w:rsidR="00934BEC">
        <w:rPr>
          <w:rFonts w:ascii="Arial" w:hAnsi="Arial" w:cs="Arial"/>
          <w:color w:val="000000" w:themeColor="text1"/>
        </w:rPr>
        <w:t xml:space="preserve">serão de 15 (quinze) meses </w:t>
      </w:r>
      <w:r>
        <w:rPr>
          <w:rFonts w:ascii="Arial" w:hAnsi="Arial" w:cs="Arial"/>
          <w:color w:val="000000" w:themeColor="text1"/>
        </w:rPr>
        <w:t>e de execução dos serviços ser</w:t>
      </w:r>
      <w:r w:rsidR="00934BEC">
        <w:rPr>
          <w:rFonts w:ascii="Arial" w:hAnsi="Arial" w:cs="Arial"/>
          <w:color w:val="000000" w:themeColor="text1"/>
        </w:rPr>
        <w:t>ão</w:t>
      </w:r>
      <w:r>
        <w:rPr>
          <w:rFonts w:ascii="Arial" w:hAnsi="Arial" w:cs="Arial"/>
          <w:color w:val="000000" w:themeColor="text1"/>
        </w:rPr>
        <w:t xml:space="preserve"> a partir da data de emissão da Ordem de Serviço, contado em dias consecutivos, com prazo de </w:t>
      </w:r>
      <w:r w:rsidR="00934BEC">
        <w:rPr>
          <w:rFonts w:ascii="Arial" w:hAnsi="Arial" w:cs="Arial"/>
          <w:color w:val="000000" w:themeColor="text1"/>
        </w:rPr>
        <w:t xml:space="preserve">no máximo </w:t>
      </w:r>
      <w:r>
        <w:rPr>
          <w:rFonts w:ascii="Arial" w:hAnsi="Arial" w:cs="Arial"/>
          <w:color w:val="000000" w:themeColor="text1"/>
        </w:rPr>
        <w:t xml:space="preserve">12 (doze) meses. </w:t>
      </w:r>
    </w:p>
    <w:p w14:paraId="139D0E5B" w14:textId="77777777" w:rsidR="00D93872" w:rsidRDefault="00D93872">
      <w:pPr>
        <w:pStyle w:val="Default"/>
        <w:jc w:val="both"/>
        <w:rPr>
          <w:rFonts w:ascii="Arial" w:hAnsi="Arial" w:cs="Arial"/>
          <w:color w:val="000000" w:themeColor="text1"/>
        </w:rPr>
      </w:pPr>
    </w:p>
    <w:p w14:paraId="0B3C662B" w14:textId="5B1FD586" w:rsidR="00D93872" w:rsidRDefault="00504F29">
      <w:pPr>
        <w:pStyle w:val="Default"/>
        <w:jc w:val="both"/>
        <w:rPr>
          <w:rFonts w:ascii="Arial" w:hAnsi="Arial" w:cs="Arial"/>
          <w:color w:val="000000" w:themeColor="text1"/>
        </w:rPr>
      </w:pPr>
      <w:r>
        <w:rPr>
          <w:rFonts w:ascii="Arial" w:hAnsi="Arial" w:cs="Arial"/>
          <w:color w:val="000000" w:themeColor="text1"/>
        </w:rPr>
        <w:t>Para execução dos serviços, a Contratada deverá observar as normas vigentes da ABNT</w:t>
      </w:r>
      <w:r w:rsidR="00DA208A">
        <w:rPr>
          <w:rFonts w:ascii="Arial" w:hAnsi="Arial" w:cs="Arial"/>
          <w:color w:val="000000" w:themeColor="text1"/>
        </w:rPr>
        <w:t xml:space="preserve"> (Associação Brasileira de Normas Técnicas)</w:t>
      </w:r>
      <w:r>
        <w:rPr>
          <w:rFonts w:ascii="Arial" w:hAnsi="Arial" w:cs="Arial"/>
          <w:color w:val="000000" w:themeColor="text1"/>
        </w:rPr>
        <w:t xml:space="preserve"> que tratam de resíduos sólidos, o Caderno de Encargos da CODEVASF e as disposições particulares estabelecidas nas Especificações Técnicas, além das instruções que venham a receber da Contratante em cada caso específico e a melhor técnica consagrada pelo uso.</w:t>
      </w:r>
    </w:p>
    <w:p w14:paraId="27284070" w14:textId="77777777" w:rsidR="00D93872" w:rsidRDefault="00D93872">
      <w:pPr>
        <w:pStyle w:val="Default"/>
        <w:jc w:val="both"/>
        <w:rPr>
          <w:rFonts w:ascii="Arial" w:hAnsi="Arial" w:cs="Arial"/>
          <w:color w:val="000000" w:themeColor="text1"/>
        </w:rPr>
      </w:pPr>
    </w:p>
    <w:p w14:paraId="4E3CC0BC" w14:textId="77777777" w:rsidR="00D93872" w:rsidRDefault="00504F29">
      <w:pPr>
        <w:pStyle w:val="Default"/>
        <w:jc w:val="both"/>
        <w:rPr>
          <w:rFonts w:ascii="Arial" w:hAnsi="Arial" w:cs="Arial"/>
          <w:color w:val="000000" w:themeColor="text1"/>
        </w:rPr>
      </w:pPr>
      <w:r>
        <w:rPr>
          <w:rFonts w:ascii="Arial" w:hAnsi="Arial" w:cs="Arial"/>
          <w:color w:val="000000" w:themeColor="text1"/>
        </w:rPr>
        <w:t>As especificações estabelecem as condições mínimas necessárias à execução dos serviços, bem como os critérios que a fiscalização deverá adotar quando do recebimento do objeto.</w:t>
      </w:r>
    </w:p>
    <w:p w14:paraId="0BBAC10B" w14:textId="77777777" w:rsidR="00D93872" w:rsidRDefault="00D93872">
      <w:pPr>
        <w:pStyle w:val="Default"/>
        <w:jc w:val="both"/>
        <w:rPr>
          <w:rFonts w:ascii="Arial" w:hAnsi="Arial" w:cs="Arial"/>
          <w:color w:val="000000" w:themeColor="text1"/>
        </w:rPr>
      </w:pPr>
    </w:p>
    <w:p w14:paraId="168C872F" w14:textId="77777777" w:rsidR="00D93872" w:rsidRDefault="00504F29">
      <w:pPr>
        <w:pStyle w:val="Default"/>
        <w:jc w:val="both"/>
        <w:rPr>
          <w:rFonts w:ascii="Arial" w:hAnsi="Arial" w:cs="Arial"/>
          <w:color w:val="000000" w:themeColor="text1"/>
        </w:rPr>
      </w:pPr>
      <w:r>
        <w:rPr>
          <w:rFonts w:ascii="Arial" w:hAnsi="Arial" w:cs="Arial"/>
          <w:color w:val="000000" w:themeColor="text1"/>
        </w:rPr>
        <w:t>A área técnica responsável pela execução deverá certificar-se do cumprimento das exigências constantes das Especificações Técnicas, bem como ao atendimento quanto à legislação aplicável.</w:t>
      </w:r>
    </w:p>
    <w:p w14:paraId="0E322480" w14:textId="77777777" w:rsidR="00D93872" w:rsidRDefault="00D93872">
      <w:pPr>
        <w:pStyle w:val="Default"/>
        <w:jc w:val="both"/>
        <w:rPr>
          <w:rFonts w:ascii="Arial" w:hAnsi="Arial" w:cs="Arial"/>
          <w:color w:val="000000" w:themeColor="text1"/>
        </w:rPr>
      </w:pPr>
    </w:p>
    <w:p w14:paraId="34AEF12E" w14:textId="77777777" w:rsidR="00D93872" w:rsidRDefault="00504F29">
      <w:pPr>
        <w:pStyle w:val="Ttulo1"/>
        <w:rPr>
          <w:rFonts w:cs="Arial"/>
          <w:color w:val="000000" w:themeColor="text1"/>
          <w:sz w:val="24"/>
        </w:rPr>
      </w:pPr>
      <w:bookmarkStart w:id="9" w:name="_Toc81472276"/>
      <w:r>
        <w:rPr>
          <w:rFonts w:cs="Arial"/>
          <w:color w:val="000000" w:themeColor="text1"/>
          <w:sz w:val="24"/>
        </w:rPr>
        <w:t>DESCRIÇÃO DA SOLUÇÃO</w:t>
      </w:r>
      <w:bookmarkEnd w:id="9"/>
      <w:r>
        <w:rPr>
          <w:rFonts w:cs="Arial"/>
          <w:color w:val="000000" w:themeColor="text1"/>
          <w:sz w:val="24"/>
        </w:rPr>
        <w:t xml:space="preserve"> </w:t>
      </w:r>
    </w:p>
    <w:p w14:paraId="366751C5" w14:textId="77777777" w:rsidR="00D93872" w:rsidRDefault="00D93872">
      <w:pPr>
        <w:pStyle w:val="Default"/>
        <w:jc w:val="both"/>
        <w:rPr>
          <w:rFonts w:ascii="Arial" w:hAnsi="Arial" w:cs="Arial"/>
          <w:color w:val="000000" w:themeColor="text1"/>
        </w:rPr>
      </w:pPr>
    </w:p>
    <w:p w14:paraId="34B8C729" w14:textId="77777777" w:rsidR="00D93872" w:rsidRDefault="00D93872">
      <w:pPr>
        <w:pStyle w:val="PargrafodaLista"/>
        <w:numPr>
          <w:ilvl w:val="0"/>
          <w:numId w:val="10"/>
        </w:numPr>
        <w:autoSpaceDE w:val="0"/>
        <w:autoSpaceDN w:val="0"/>
        <w:adjustRightInd w:val="0"/>
        <w:spacing w:after="0" w:line="240" w:lineRule="auto"/>
        <w:jc w:val="both"/>
        <w:rPr>
          <w:rFonts w:ascii="Arial" w:hAnsi="Arial" w:cs="Arial"/>
          <w:vanish/>
          <w:color w:val="000000" w:themeColor="text1"/>
          <w:sz w:val="24"/>
          <w:szCs w:val="24"/>
        </w:rPr>
      </w:pPr>
    </w:p>
    <w:p w14:paraId="2FBD4C82" w14:textId="77777777" w:rsidR="00D93872" w:rsidRDefault="00D93872">
      <w:pPr>
        <w:pStyle w:val="PargrafodaLista"/>
        <w:numPr>
          <w:ilvl w:val="0"/>
          <w:numId w:val="10"/>
        </w:numPr>
        <w:autoSpaceDE w:val="0"/>
        <w:autoSpaceDN w:val="0"/>
        <w:adjustRightInd w:val="0"/>
        <w:spacing w:after="0" w:line="240" w:lineRule="auto"/>
        <w:jc w:val="both"/>
        <w:rPr>
          <w:rFonts w:ascii="Arial" w:hAnsi="Arial" w:cs="Arial"/>
          <w:vanish/>
          <w:color w:val="000000" w:themeColor="text1"/>
          <w:sz w:val="24"/>
          <w:szCs w:val="24"/>
        </w:rPr>
      </w:pPr>
    </w:p>
    <w:p w14:paraId="0C2CDE30" w14:textId="77777777" w:rsidR="00D93872" w:rsidRDefault="00D93872">
      <w:pPr>
        <w:pStyle w:val="PargrafodaLista"/>
        <w:numPr>
          <w:ilvl w:val="0"/>
          <w:numId w:val="10"/>
        </w:numPr>
        <w:autoSpaceDE w:val="0"/>
        <w:autoSpaceDN w:val="0"/>
        <w:adjustRightInd w:val="0"/>
        <w:spacing w:after="0" w:line="240" w:lineRule="auto"/>
        <w:jc w:val="both"/>
        <w:rPr>
          <w:rFonts w:ascii="Arial" w:hAnsi="Arial" w:cs="Arial"/>
          <w:vanish/>
          <w:color w:val="000000" w:themeColor="text1"/>
          <w:sz w:val="24"/>
          <w:szCs w:val="24"/>
        </w:rPr>
      </w:pPr>
    </w:p>
    <w:p w14:paraId="30548B70" w14:textId="77777777" w:rsidR="00D93872" w:rsidRDefault="00D93872">
      <w:pPr>
        <w:pStyle w:val="PargrafodaLista"/>
        <w:numPr>
          <w:ilvl w:val="0"/>
          <w:numId w:val="10"/>
        </w:numPr>
        <w:autoSpaceDE w:val="0"/>
        <w:autoSpaceDN w:val="0"/>
        <w:adjustRightInd w:val="0"/>
        <w:spacing w:after="0" w:line="240" w:lineRule="auto"/>
        <w:jc w:val="both"/>
        <w:rPr>
          <w:rFonts w:ascii="Arial" w:hAnsi="Arial" w:cs="Arial"/>
          <w:vanish/>
          <w:color w:val="000000" w:themeColor="text1"/>
          <w:sz w:val="24"/>
          <w:szCs w:val="24"/>
        </w:rPr>
      </w:pPr>
    </w:p>
    <w:p w14:paraId="367623C6" w14:textId="77777777" w:rsidR="00D93872" w:rsidRDefault="00D93872">
      <w:pPr>
        <w:pStyle w:val="PargrafodaLista"/>
        <w:numPr>
          <w:ilvl w:val="0"/>
          <w:numId w:val="10"/>
        </w:numPr>
        <w:autoSpaceDE w:val="0"/>
        <w:autoSpaceDN w:val="0"/>
        <w:adjustRightInd w:val="0"/>
        <w:spacing w:after="0" w:line="240" w:lineRule="auto"/>
        <w:jc w:val="both"/>
        <w:rPr>
          <w:rFonts w:ascii="Arial" w:hAnsi="Arial" w:cs="Arial"/>
          <w:vanish/>
          <w:color w:val="000000" w:themeColor="text1"/>
          <w:sz w:val="24"/>
          <w:szCs w:val="24"/>
        </w:rPr>
      </w:pPr>
    </w:p>
    <w:p w14:paraId="6D4745D5" w14:textId="77777777" w:rsidR="00D93872" w:rsidRDefault="00D93872">
      <w:pPr>
        <w:pStyle w:val="PargrafodaLista"/>
        <w:numPr>
          <w:ilvl w:val="0"/>
          <w:numId w:val="10"/>
        </w:numPr>
        <w:autoSpaceDE w:val="0"/>
        <w:autoSpaceDN w:val="0"/>
        <w:adjustRightInd w:val="0"/>
        <w:spacing w:after="0" w:line="240" w:lineRule="auto"/>
        <w:jc w:val="both"/>
        <w:rPr>
          <w:rFonts w:ascii="Arial" w:hAnsi="Arial" w:cs="Arial"/>
          <w:vanish/>
          <w:color w:val="000000" w:themeColor="text1"/>
          <w:sz w:val="24"/>
          <w:szCs w:val="24"/>
        </w:rPr>
      </w:pPr>
    </w:p>
    <w:p w14:paraId="624EF397" w14:textId="77777777" w:rsidR="00D93872" w:rsidRDefault="00504F29">
      <w:pPr>
        <w:pStyle w:val="PargrafodaLista"/>
        <w:numPr>
          <w:ilvl w:val="1"/>
          <w:numId w:val="10"/>
        </w:numPr>
        <w:autoSpaceDE w:val="0"/>
        <w:autoSpaceDN w:val="0"/>
        <w:adjustRightInd w:val="0"/>
        <w:spacing w:after="0" w:line="240" w:lineRule="auto"/>
        <w:ind w:left="567" w:hanging="567"/>
        <w:jc w:val="both"/>
        <w:rPr>
          <w:rFonts w:ascii="Arial" w:hAnsi="Arial" w:cs="Arial"/>
          <w:color w:val="000000" w:themeColor="text1"/>
          <w:sz w:val="24"/>
          <w:szCs w:val="24"/>
        </w:rPr>
      </w:pPr>
      <w:r>
        <w:rPr>
          <w:rFonts w:ascii="Arial" w:hAnsi="Arial" w:cs="Arial"/>
          <w:color w:val="000000" w:themeColor="text1"/>
          <w:sz w:val="24"/>
          <w:szCs w:val="24"/>
        </w:rPr>
        <w:t>ESCOLHA DA SOLUÇÃO TÉCNICA</w:t>
      </w:r>
    </w:p>
    <w:p w14:paraId="09E3C166" w14:textId="77777777" w:rsidR="00D93872" w:rsidRDefault="00D93872">
      <w:pPr>
        <w:pStyle w:val="PargrafodaLista"/>
        <w:autoSpaceDE w:val="0"/>
        <w:autoSpaceDN w:val="0"/>
        <w:adjustRightInd w:val="0"/>
        <w:spacing w:after="0" w:line="240" w:lineRule="auto"/>
        <w:ind w:left="0"/>
        <w:jc w:val="both"/>
        <w:rPr>
          <w:rFonts w:ascii="Arial" w:hAnsi="Arial" w:cs="Arial"/>
          <w:color w:val="000000" w:themeColor="text1"/>
          <w:sz w:val="24"/>
          <w:szCs w:val="24"/>
        </w:rPr>
      </w:pPr>
    </w:p>
    <w:p w14:paraId="6777D344" w14:textId="0C017C48" w:rsidR="00D93872" w:rsidRDefault="00504F29" w:rsidP="00566EFC">
      <w:pPr>
        <w:pStyle w:val="Default"/>
        <w:jc w:val="both"/>
        <w:rPr>
          <w:rFonts w:ascii="Arial" w:hAnsi="Arial"/>
          <w:color w:val="000000" w:themeColor="text1"/>
        </w:rPr>
      </w:pPr>
      <w:r>
        <w:rPr>
          <w:rFonts w:ascii="Arial" w:hAnsi="Arial" w:cs="Arial"/>
          <w:color w:val="000000" w:themeColor="text1"/>
        </w:rPr>
        <w:t xml:space="preserve">A solução proposta neste estudo refere-se à </w:t>
      </w:r>
      <w:r>
        <w:rPr>
          <w:rFonts w:ascii="Arial" w:hAnsi="Arial"/>
          <w:color w:val="000000" w:themeColor="text1"/>
        </w:rPr>
        <w:t>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p w14:paraId="30098344" w14:textId="77777777" w:rsidR="00566EFC" w:rsidRPr="00566EFC" w:rsidRDefault="00566EFC" w:rsidP="00566EFC">
      <w:pPr>
        <w:pStyle w:val="Default"/>
        <w:jc w:val="both"/>
        <w:rPr>
          <w:rFonts w:ascii="Arial" w:hAnsi="Arial" w:cs="Arial"/>
          <w:color w:val="000000" w:themeColor="text1"/>
        </w:rPr>
      </w:pPr>
    </w:p>
    <w:p w14:paraId="7AF0BD09" w14:textId="77777777" w:rsidR="00D93872" w:rsidRDefault="00504F29">
      <w:pPr>
        <w:pStyle w:val="PargrafodaLista"/>
        <w:numPr>
          <w:ilvl w:val="1"/>
          <w:numId w:val="10"/>
        </w:numPr>
        <w:autoSpaceDE w:val="0"/>
        <w:autoSpaceDN w:val="0"/>
        <w:adjustRightInd w:val="0"/>
        <w:spacing w:after="0" w:line="240" w:lineRule="auto"/>
        <w:ind w:left="567" w:hanging="567"/>
        <w:jc w:val="both"/>
        <w:rPr>
          <w:rFonts w:ascii="Arial" w:hAnsi="Arial" w:cs="Arial"/>
          <w:color w:val="000000" w:themeColor="text1"/>
          <w:sz w:val="24"/>
        </w:rPr>
      </w:pPr>
      <w:r>
        <w:rPr>
          <w:rFonts w:ascii="Arial" w:hAnsi="Arial" w:cs="Arial"/>
          <w:color w:val="000000" w:themeColor="text1"/>
          <w:sz w:val="24"/>
          <w:szCs w:val="24"/>
        </w:rPr>
        <w:t>DA EXECUÇÃO DOS SERVIÇOS</w:t>
      </w:r>
    </w:p>
    <w:p w14:paraId="0091015A" w14:textId="77777777" w:rsidR="00D93872" w:rsidRDefault="00D93872">
      <w:pPr>
        <w:pStyle w:val="PargrafodaLista"/>
        <w:autoSpaceDE w:val="0"/>
        <w:autoSpaceDN w:val="0"/>
        <w:adjustRightInd w:val="0"/>
        <w:spacing w:after="0" w:line="240" w:lineRule="auto"/>
        <w:ind w:left="0"/>
        <w:jc w:val="both"/>
        <w:rPr>
          <w:rFonts w:ascii="Arial" w:hAnsi="Arial" w:cs="Arial"/>
          <w:color w:val="000000" w:themeColor="text1"/>
          <w:sz w:val="24"/>
        </w:rPr>
      </w:pPr>
    </w:p>
    <w:p w14:paraId="55ED8F91"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rPr>
      </w:pPr>
      <w:r>
        <w:rPr>
          <w:rFonts w:ascii="Arial" w:hAnsi="Arial" w:cs="Arial"/>
          <w:color w:val="000000" w:themeColor="text1"/>
          <w:sz w:val="24"/>
        </w:rPr>
        <w:t>A Contratada deverá observar as normas vigentes da ABNT (NBR) e especificações técnicas do DNIT que tratam de serviços de terraplenagem.</w:t>
      </w:r>
    </w:p>
    <w:p w14:paraId="15A99E86"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rPr>
      </w:pPr>
    </w:p>
    <w:p w14:paraId="27332863"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rPr>
      </w:pPr>
      <w:r>
        <w:rPr>
          <w:rFonts w:ascii="Arial" w:hAnsi="Arial" w:cs="Arial"/>
          <w:color w:val="000000" w:themeColor="text1"/>
          <w:sz w:val="24"/>
        </w:rPr>
        <w:t>As especificações técnicas da execução estabelecem as condições mínimas necessárias à execução dos serviços, bem como os critérios que a fiscalização deverá adotar no momento do recebimento do objeto;</w:t>
      </w:r>
    </w:p>
    <w:p w14:paraId="70A13029"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rPr>
      </w:pPr>
    </w:p>
    <w:p w14:paraId="72C178B2"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rPr>
      </w:pPr>
      <w:r>
        <w:rPr>
          <w:rFonts w:ascii="Arial" w:hAnsi="Arial" w:cs="Arial"/>
          <w:color w:val="000000" w:themeColor="text1"/>
          <w:sz w:val="24"/>
          <w:szCs w:val="24"/>
        </w:rPr>
        <w:t>As obras/serviços serão realizadas em conformidade com as cláusulas, condições, garantias, obrigações e responsabilidades entre as partes, descritos no instrumento contratual.</w:t>
      </w:r>
    </w:p>
    <w:p w14:paraId="034042C6" w14:textId="77777777" w:rsidR="00D93872" w:rsidRDefault="00D93872">
      <w:pPr>
        <w:pStyle w:val="PargrafodaLista"/>
        <w:autoSpaceDE w:val="0"/>
        <w:autoSpaceDN w:val="0"/>
        <w:adjustRightInd w:val="0"/>
        <w:spacing w:after="0" w:line="240" w:lineRule="auto"/>
        <w:ind w:left="420"/>
        <w:jc w:val="both"/>
        <w:rPr>
          <w:rFonts w:ascii="Arial" w:hAnsi="Arial" w:cs="Arial"/>
          <w:sz w:val="24"/>
        </w:rPr>
      </w:pPr>
    </w:p>
    <w:p w14:paraId="534E4E04"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sz w:val="24"/>
          <w:lang w:val="en-US"/>
        </w:rPr>
      </w:pPr>
      <w:r>
        <w:rPr>
          <w:rFonts w:ascii="Arial" w:hAnsi="Arial" w:cs="Arial"/>
          <w:sz w:val="24"/>
          <w:szCs w:val="24"/>
        </w:rPr>
        <w:t>Os serviços serão executados em comunidades de caráter rural em diversos municípios da área de abrangência da 2ª Superintendência Regional da Codevasf.</w:t>
      </w:r>
    </w:p>
    <w:p w14:paraId="7E13D01C" w14:textId="77777777" w:rsidR="00D93872" w:rsidRDefault="00D93872">
      <w:pPr>
        <w:pStyle w:val="PargrafodaLista"/>
        <w:autoSpaceDE w:val="0"/>
        <w:autoSpaceDN w:val="0"/>
        <w:adjustRightInd w:val="0"/>
        <w:spacing w:after="0" w:line="240" w:lineRule="auto"/>
        <w:ind w:left="360"/>
        <w:jc w:val="both"/>
        <w:rPr>
          <w:rFonts w:ascii="Arial" w:hAnsi="Arial" w:cs="Arial"/>
          <w:color w:val="000000" w:themeColor="text1"/>
          <w:sz w:val="24"/>
        </w:rPr>
      </w:pPr>
    </w:p>
    <w:p w14:paraId="5923BF27"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t xml:space="preserve">Caberá à Contratante emitir e enviar a Ordem de Serviço à Contratada, disponibilizar modelo de placa de identificação do empreendimento e designar profissional para fiscalizar a execução das obras/serviços. </w:t>
      </w:r>
    </w:p>
    <w:p w14:paraId="4B69141C"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szCs w:val="24"/>
        </w:rPr>
      </w:pPr>
    </w:p>
    <w:p w14:paraId="193540F4"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t>A Contratada deverá atender às solicitações do fiscal, cumprir os prazos estipulados em contrato e possibilitar o seu livre acesso ao local das obras/serviços. Caso haja a impossibilidade de cumprimento de qualquer um dos prazos, deverá ser apresentada pela Contratada, ao Contratante, justificativa acompanhada de comprovação da impossibilidade de atendimento, para análise e aprovação.</w:t>
      </w:r>
    </w:p>
    <w:p w14:paraId="2B098EC2"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szCs w:val="24"/>
        </w:rPr>
      </w:pPr>
    </w:p>
    <w:p w14:paraId="28B67235"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t>Para execução dos serviços, a Contratada deverá observar as normas vigentes da ABNT que tratam de resíduos sólidos, o Caderno de Encargos da CODEVASF e as disposições particulares estabelecidas nas Especificações Técnicas, além das instruções que venham a receber da Contratante em cada caso específico e a melhor técnica consagrada pelo uso.</w:t>
      </w:r>
    </w:p>
    <w:p w14:paraId="7A482AE6"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szCs w:val="24"/>
        </w:rPr>
      </w:pPr>
    </w:p>
    <w:p w14:paraId="3DA2BCFB"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t>As obras/serviços serão iniciadas após a emissão da Ordem de Serviço e deverão ser feitos rigorosamente de acordo com o projeto executivo e serviços constantes na planilha orçamentária estimativa de preços. Toda e qualquer alteração que por necessidade deva ser introduzida no projeto ou nas especificações técnica, visando melhorias, só será admitida com autorização da Fiscalização da contratada.</w:t>
      </w:r>
    </w:p>
    <w:p w14:paraId="2738B3BD"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szCs w:val="24"/>
        </w:rPr>
      </w:pPr>
    </w:p>
    <w:p w14:paraId="4554293C"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t>Os insumos a serem empregados na execução deverão passar por supervisão e aprovação da fiscalização antes da sua aplicação. Caso haja necessidade de substituição de insumos ou serviços da planilha orçamentária estimativa, a Contratada deverá apresentar memorial justificativo para sua utilização e composição de preço unitário completa, que permita avaliação da fiscalização.</w:t>
      </w:r>
    </w:p>
    <w:p w14:paraId="48BEB8E4"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szCs w:val="24"/>
        </w:rPr>
      </w:pPr>
    </w:p>
    <w:p w14:paraId="57C7D15A"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t>As especificações estabelecem as condições mínimas necessárias à execução das obras/serviços, bem como os critérios que a fiscalização deverá adotar quando do recebimento do objeto.</w:t>
      </w:r>
    </w:p>
    <w:p w14:paraId="27B75153" w14:textId="77777777" w:rsidR="00D93872" w:rsidRDefault="00D93872">
      <w:pPr>
        <w:pStyle w:val="PargrafodaLista"/>
        <w:autoSpaceDE w:val="0"/>
        <w:autoSpaceDN w:val="0"/>
        <w:adjustRightInd w:val="0"/>
        <w:spacing w:after="0" w:line="240" w:lineRule="auto"/>
        <w:ind w:left="420"/>
        <w:jc w:val="both"/>
        <w:rPr>
          <w:rFonts w:ascii="Arial" w:hAnsi="Arial" w:cs="Arial"/>
          <w:color w:val="000000" w:themeColor="text1"/>
          <w:sz w:val="24"/>
          <w:szCs w:val="24"/>
        </w:rPr>
      </w:pPr>
    </w:p>
    <w:p w14:paraId="3EB798A5" w14:textId="77777777" w:rsidR="00D93872" w:rsidRDefault="00504F29">
      <w:pPr>
        <w:pStyle w:val="PargrafodaLista"/>
        <w:numPr>
          <w:ilvl w:val="2"/>
          <w:numId w:val="10"/>
        </w:numPr>
        <w:autoSpaceDE w:val="0"/>
        <w:autoSpaceDN w:val="0"/>
        <w:adjustRightInd w:val="0"/>
        <w:spacing w:after="0" w:line="240" w:lineRule="auto"/>
        <w:ind w:left="987" w:hanging="567"/>
        <w:jc w:val="both"/>
        <w:rPr>
          <w:rFonts w:ascii="Arial" w:hAnsi="Arial" w:cs="Arial"/>
          <w:color w:val="000000" w:themeColor="text1"/>
          <w:sz w:val="24"/>
          <w:szCs w:val="24"/>
        </w:rPr>
      </w:pPr>
      <w:r>
        <w:rPr>
          <w:rFonts w:ascii="Arial" w:hAnsi="Arial" w:cs="Arial"/>
          <w:color w:val="000000" w:themeColor="text1"/>
          <w:sz w:val="24"/>
          <w:szCs w:val="24"/>
        </w:rPr>
        <w:lastRenderedPageBreak/>
        <w:t>A área técnica responsável pela execução deverá certificar-se do cumprimento das exigências constantes das Especificações Técnicas, bem como ao atendimento quanto à legislação aplicável.</w:t>
      </w:r>
    </w:p>
    <w:p w14:paraId="2467D453" w14:textId="77777777" w:rsidR="00D93872" w:rsidRDefault="00D93872">
      <w:pPr>
        <w:rPr>
          <w:rFonts w:ascii="Arial" w:hAnsi="Arial" w:cs="Arial"/>
          <w:color w:val="000000" w:themeColor="text1"/>
          <w:sz w:val="24"/>
        </w:rPr>
      </w:pPr>
    </w:p>
    <w:p w14:paraId="3E493A96" w14:textId="77777777" w:rsidR="00D93872" w:rsidRDefault="00504F29">
      <w:pPr>
        <w:pStyle w:val="Ttulo1"/>
        <w:rPr>
          <w:rFonts w:cs="Arial"/>
          <w:color w:val="000000" w:themeColor="text1"/>
          <w:sz w:val="24"/>
        </w:rPr>
      </w:pPr>
      <w:bookmarkStart w:id="10" w:name="_Toc81472277"/>
      <w:r>
        <w:rPr>
          <w:rFonts w:cs="Arial"/>
          <w:color w:val="000000" w:themeColor="text1"/>
          <w:sz w:val="24"/>
        </w:rPr>
        <w:t>ESTIMATIVA DAS QUANTIDADES A SEREM CONTRATADAS</w:t>
      </w:r>
      <w:bookmarkEnd w:id="10"/>
    </w:p>
    <w:p w14:paraId="1A595C71" w14:textId="77777777" w:rsidR="00D93872" w:rsidRDefault="00D93872">
      <w:pPr>
        <w:pStyle w:val="PargrafodaLista"/>
        <w:autoSpaceDE w:val="0"/>
        <w:autoSpaceDN w:val="0"/>
        <w:adjustRightInd w:val="0"/>
        <w:spacing w:after="0" w:line="240" w:lineRule="auto"/>
        <w:jc w:val="both"/>
        <w:rPr>
          <w:rFonts w:ascii="Arial" w:hAnsi="Arial" w:cs="Arial"/>
          <w:b/>
          <w:bCs/>
          <w:color w:val="000000" w:themeColor="text1"/>
          <w:sz w:val="24"/>
          <w:szCs w:val="24"/>
        </w:rPr>
      </w:pPr>
    </w:p>
    <w:p w14:paraId="713C2D9E"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A estimativa das quantidades a serem contratadas levou em consideração o levantamento de dados das últimas licitações realizadas para este fim, as experiências em campo dos fiscais de instrumentos com objeto semelhante e as demandas existentes para o biênio 2023-2024, tendo em vista as características observadas dos municípios da 2ª Superintendência Regional da CODEVASF</w:t>
      </w:r>
    </w:p>
    <w:p w14:paraId="2CAF0D0C"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52944892" w14:textId="0DFE92FD"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Abaixo segue planilha-resumo com os quantitativos estimados</w:t>
      </w:r>
      <w:r w:rsidR="0032257D">
        <w:rPr>
          <w:rFonts w:ascii="Arial" w:hAnsi="Arial" w:cs="Arial"/>
          <w:color w:val="000000" w:themeColor="text1"/>
          <w:sz w:val="24"/>
          <w:szCs w:val="24"/>
        </w:rPr>
        <w:t xml:space="preserve"> e valores orçados pela 2ª/GRD/UIP em agosto de 2023</w:t>
      </w:r>
      <w:r w:rsidR="00FE05C9">
        <w:rPr>
          <w:rFonts w:ascii="Arial" w:hAnsi="Arial" w:cs="Arial"/>
          <w:color w:val="000000" w:themeColor="text1"/>
          <w:sz w:val="24"/>
          <w:szCs w:val="24"/>
        </w:rPr>
        <w:t xml:space="preserve"> (com BDI de 21,50%)</w:t>
      </w:r>
      <w:r>
        <w:rPr>
          <w:rFonts w:ascii="Arial" w:hAnsi="Arial" w:cs="Arial"/>
          <w:color w:val="000000" w:themeColor="text1"/>
          <w:sz w:val="24"/>
          <w:szCs w:val="24"/>
        </w:rPr>
        <w:t>. O módulo mínimo de execução adotado será de capacidade de armazenamento de água de 1.000 m</w:t>
      </w:r>
      <w:r>
        <w:rPr>
          <w:rFonts w:ascii="Arial" w:hAnsi="Arial" w:cs="Arial"/>
          <w:color w:val="000000" w:themeColor="text1"/>
          <w:sz w:val="24"/>
          <w:szCs w:val="24"/>
          <w:vertAlign w:val="superscript"/>
        </w:rPr>
        <w:t>3</w:t>
      </w:r>
      <w:r>
        <w:rPr>
          <w:rFonts w:ascii="Arial" w:hAnsi="Arial" w:cs="Arial"/>
          <w:color w:val="000000" w:themeColor="text1"/>
          <w:sz w:val="24"/>
          <w:szCs w:val="24"/>
        </w:rPr>
        <w:t>.</w:t>
      </w:r>
    </w:p>
    <w:p w14:paraId="7AF56DE8" w14:textId="3486523F" w:rsidR="0032257D" w:rsidRDefault="0032257D">
      <w:pPr>
        <w:autoSpaceDE w:val="0"/>
        <w:autoSpaceDN w:val="0"/>
        <w:adjustRightInd w:val="0"/>
        <w:spacing w:after="0" w:line="240" w:lineRule="auto"/>
        <w:jc w:val="both"/>
        <w:rPr>
          <w:rFonts w:ascii="Arial" w:hAnsi="Arial" w:cs="Arial"/>
          <w:color w:val="000000" w:themeColor="text1"/>
          <w:sz w:val="24"/>
          <w:szCs w:val="24"/>
        </w:rPr>
      </w:pPr>
    </w:p>
    <w:p w14:paraId="200E0332" w14:textId="18C8B89B" w:rsidR="0032257D" w:rsidRDefault="0032257D">
      <w:pPr>
        <w:autoSpaceDE w:val="0"/>
        <w:autoSpaceDN w:val="0"/>
        <w:adjustRightInd w:val="0"/>
        <w:spacing w:after="0" w:line="240" w:lineRule="auto"/>
        <w:jc w:val="both"/>
        <w:rPr>
          <w:rFonts w:ascii="Arial" w:hAnsi="Arial" w:cs="Arial"/>
          <w:color w:val="000000" w:themeColor="text1"/>
          <w:sz w:val="24"/>
          <w:szCs w:val="24"/>
        </w:rPr>
      </w:pPr>
      <w:r w:rsidRPr="0032257D">
        <w:rPr>
          <w:noProof/>
        </w:rPr>
        <w:drawing>
          <wp:inline distT="0" distB="0" distL="0" distR="0" wp14:anchorId="199AC8B1" wp14:editId="12D99F9D">
            <wp:extent cx="6120765" cy="3940175"/>
            <wp:effectExtent l="0" t="0" r="0" b="317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765" cy="3940175"/>
                    </a:xfrm>
                    <a:prstGeom prst="rect">
                      <a:avLst/>
                    </a:prstGeom>
                    <a:noFill/>
                    <a:ln>
                      <a:noFill/>
                    </a:ln>
                  </pic:spPr>
                </pic:pic>
              </a:graphicData>
            </a:graphic>
          </wp:inline>
        </w:drawing>
      </w:r>
    </w:p>
    <w:p w14:paraId="462161A1" w14:textId="77777777" w:rsidR="0032257D" w:rsidRDefault="0032257D">
      <w:pPr>
        <w:autoSpaceDE w:val="0"/>
        <w:autoSpaceDN w:val="0"/>
        <w:adjustRightInd w:val="0"/>
        <w:spacing w:after="0" w:line="240" w:lineRule="auto"/>
        <w:jc w:val="both"/>
        <w:rPr>
          <w:rFonts w:ascii="Arial" w:hAnsi="Arial" w:cs="Arial"/>
          <w:color w:val="000000" w:themeColor="text1"/>
          <w:sz w:val="24"/>
          <w:szCs w:val="24"/>
        </w:rPr>
      </w:pPr>
    </w:p>
    <w:p w14:paraId="09AB2D24" w14:textId="34FF8058" w:rsidR="0032257D" w:rsidRDefault="0032257D" w:rsidP="0032257D">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Abaixo segue planilha-resumo global com os quantitativos totais estimados e valores orçados pela 2ª/GRD/UIP em agosto de 2023</w:t>
      </w:r>
      <w:r w:rsidR="00FE05C9">
        <w:rPr>
          <w:rFonts w:ascii="Arial" w:hAnsi="Arial" w:cs="Arial"/>
          <w:color w:val="000000" w:themeColor="text1"/>
          <w:sz w:val="24"/>
          <w:szCs w:val="24"/>
        </w:rPr>
        <w:t xml:space="preserve"> (com BDI de 21,50%)</w:t>
      </w:r>
      <w:r>
        <w:rPr>
          <w:rFonts w:ascii="Arial" w:hAnsi="Arial" w:cs="Arial"/>
          <w:color w:val="000000" w:themeColor="text1"/>
          <w:sz w:val="24"/>
          <w:szCs w:val="24"/>
        </w:rPr>
        <w:t>.</w:t>
      </w:r>
    </w:p>
    <w:p w14:paraId="06EF74C8" w14:textId="4888BC5E" w:rsidR="0032257D" w:rsidRDefault="0032257D" w:rsidP="0032257D">
      <w:pPr>
        <w:autoSpaceDE w:val="0"/>
        <w:autoSpaceDN w:val="0"/>
        <w:adjustRightInd w:val="0"/>
        <w:spacing w:after="0" w:line="240" w:lineRule="auto"/>
        <w:jc w:val="both"/>
        <w:rPr>
          <w:rFonts w:ascii="Arial" w:hAnsi="Arial" w:cs="Arial"/>
          <w:color w:val="000000" w:themeColor="text1"/>
          <w:sz w:val="24"/>
          <w:szCs w:val="24"/>
        </w:rPr>
      </w:pPr>
      <w:r w:rsidRPr="0032257D">
        <w:rPr>
          <w:noProof/>
        </w:rPr>
        <w:lastRenderedPageBreak/>
        <w:drawing>
          <wp:inline distT="0" distB="0" distL="0" distR="0" wp14:anchorId="38FF4450" wp14:editId="7FBB1DFE">
            <wp:extent cx="6120765" cy="34753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765" cy="3475355"/>
                    </a:xfrm>
                    <a:prstGeom prst="rect">
                      <a:avLst/>
                    </a:prstGeom>
                    <a:noFill/>
                    <a:ln>
                      <a:noFill/>
                    </a:ln>
                  </pic:spPr>
                </pic:pic>
              </a:graphicData>
            </a:graphic>
          </wp:inline>
        </w:drawing>
      </w:r>
    </w:p>
    <w:p w14:paraId="2243FB66"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3132929C" w14:textId="77777777" w:rsidR="00D93872" w:rsidRDefault="00504F29">
      <w:pPr>
        <w:pStyle w:val="Ttulo1"/>
        <w:rPr>
          <w:rFonts w:cs="Arial"/>
          <w:color w:val="000000" w:themeColor="text1"/>
          <w:sz w:val="24"/>
        </w:rPr>
      </w:pPr>
      <w:bookmarkStart w:id="11" w:name="_Toc81472278"/>
      <w:r>
        <w:rPr>
          <w:rFonts w:cs="Arial"/>
          <w:color w:val="000000" w:themeColor="text1"/>
          <w:sz w:val="24"/>
        </w:rPr>
        <w:t>PESQUISA DE MERCADO E ESTIMATIVA DO VALOR DA CONTRATAÇÃO</w:t>
      </w:r>
      <w:bookmarkEnd w:id="11"/>
    </w:p>
    <w:p w14:paraId="7C2F3632" w14:textId="77777777" w:rsidR="00D93872" w:rsidRDefault="00D93872">
      <w:pPr>
        <w:pStyle w:val="PargrafodaLista"/>
        <w:autoSpaceDE w:val="0"/>
        <w:autoSpaceDN w:val="0"/>
        <w:adjustRightInd w:val="0"/>
        <w:spacing w:after="0" w:line="240" w:lineRule="auto"/>
        <w:jc w:val="both"/>
        <w:rPr>
          <w:rFonts w:ascii="Arial" w:hAnsi="Arial" w:cs="Arial"/>
          <w:b/>
          <w:bCs/>
          <w:color w:val="000000" w:themeColor="text1"/>
          <w:sz w:val="24"/>
          <w:szCs w:val="24"/>
        </w:rPr>
      </w:pPr>
    </w:p>
    <w:p w14:paraId="3A3F1FF7"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O levantamento de mercado consiste na prospecção e análise das alternativas possíveis de contratação para os serviços em pauta, com ampla demanda no comércio nacional. </w:t>
      </w:r>
    </w:p>
    <w:p w14:paraId="22BA0DB1" w14:textId="77777777" w:rsidR="00D93872" w:rsidRDefault="00D93872">
      <w:pPr>
        <w:pStyle w:val="Default"/>
        <w:jc w:val="both"/>
        <w:rPr>
          <w:rFonts w:ascii="Arial" w:hAnsi="Arial" w:cs="Arial"/>
          <w:color w:val="000000" w:themeColor="text1"/>
        </w:rPr>
      </w:pPr>
    </w:p>
    <w:p w14:paraId="56ABF34D"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Considerando o previsto no Art. 14 do Regulamento Interno de Licitações e Contratos da CODEVASF (DELIBERAÇÃO Nº 28, 27 de julho de 2020), houve pesquisa de mercado perante órgãos oficiais como </w:t>
      </w:r>
      <w:r>
        <w:rPr>
          <w:rFonts w:ascii="Arial" w:hAnsi="Arial"/>
          <w:color w:val="000000" w:themeColor="text1"/>
        </w:rPr>
        <w:t xml:space="preserve">SINAPI (Data Base: </w:t>
      </w:r>
      <w:proofErr w:type="gramStart"/>
      <w:r>
        <w:rPr>
          <w:rFonts w:ascii="Arial" w:hAnsi="Arial"/>
          <w:color w:val="000000" w:themeColor="text1"/>
        </w:rPr>
        <w:t>Junho</w:t>
      </w:r>
      <w:proofErr w:type="gramEnd"/>
      <w:r>
        <w:rPr>
          <w:rFonts w:ascii="Arial" w:hAnsi="Arial"/>
          <w:color w:val="000000" w:themeColor="text1"/>
        </w:rPr>
        <w:t>/2023) e SICRO (Abril/2023) e cotações de mercado de junho/2023</w:t>
      </w:r>
      <w:r>
        <w:rPr>
          <w:rFonts w:ascii="Arial" w:hAnsi="Arial" w:cs="Arial"/>
          <w:color w:val="000000" w:themeColor="text1"/>
        </w:rPr>
        <w:t>. Nos preços finais já estão inclusos o BDI, encargos sociais, taxas, impostos e emolumentos.</w:t>
      </w:r>
    </w:p>
    <w:p w14:paraId="1DA1AD10" w14:textId="77777777" w:rsidR="00D93872" w:rsidRDefault="00D93872">
      <w:pPr>
        <w:pStyle w:val="Default"/>
        <w:jc w:val="both"/>
        <w:rPr>
          <w:rFonts w:ascii="Arial" w:hAnsi="Arial" w:cs="Arial"/>
          <w:color w:val="000000" w:themeColor="text1"/>
        </w:rPr>
      </w:pPr>
    </w:p>
    <w:p w14:paraId="5E78FB5A" w14:textId="77777777" w:rsidR="00D93872" w:rsidRDefault="00504F29">
      <w:pPr>
        <w:pStyle w:val="Default"/>
        <w:jc w:val="both"/>
        <w:rPr>
          <w:rFonts w:ascii="Arial" w:hAnsi="Arial" w:cs="Arial"/>
          <w:color w:val="000000" w:themeColor="text1"/>
        </w:rPr>
      </w:pPr>
      <w:r>
        <w:rPr>
          <w:rFonts w:ascii="Arial" w:hAnsi="Arial" w:cs="Arial"/>
          <w:color w:val="000000" w:themeColor="text1"/>
        </w:rPr>
        <w:t xml:space="preserve">Após realização de </w:t>
      </w:r>
      <w:r>
        <w:rPr>
          <w:rFonts w:ascii="Arial" w:eastAsia="Calibri" w:hAnsi="Arial" w:cs="Arial"/>
          <w:color w:val="000000" w:themeColor="text1"/>
        </w:rPr>
        <w:t>pesquisa de preços, c</w:t>
      </w:r>
      <w:r>
        <w:rPr>
          <w:rFonts w:ascii="Arial" w:hAnsi="Arial" w:cs="Arial"/>
          <w:color w:val="000000" w:themeColor="text1"/>
        </w:rPr>
        <w:t xml:space="preserve">onforme planilha de orçamento com todos os serviços previstos, </w:t>
      </w:r>
      <w:r>
        <w:rPr>
          <w:rFonts w:ascii="Arial" w:eastAsia="Calibri" w:hAnsi="Arial" w:cs="Arial"/>
          <w:color w:val="000000" w:themeColor="text1"/>
        </w:rPr>
        <w:t xml:space="preserve">chegou-se ao valor total estimado máximo de </w:t>
      </w:r>
      <w:r>
        <w:rPr>
          <w:rFonts w:ascii="Arial" w:eastAsia="Calibri" w:hAnsi="Arial"/>
          <w:color w:val="000000" w:themeColor="text1"/>
        </w:rPr>
        <w:t>R$ 4.745.941,42 (quatro milhões, setecentos e quarenta e cinco mil, novecentos e quarenta e um reais e quarenta e dois centavos)</w:t>
      </w:r>
    </w:p>
    <w:p w14:paraId="624FA2E8" w14:textId="77777777" w:rsidR="00D93872" w:rsidRDefault="00504F29">
      <w:pPr>
        <w:pStyle w:val="Default"/>
        <w:jc w:val="both"/>
        <w:rPr>
          <w:rFonts w:ascii="Arial" w:hAnsi="Arial" w:cs="Arial"/>
          <w:color w:val="000000" w:themeColor="text1"/>
        </w:rPr>
      </w:pPr>
      <w:r>
        <w:rPr>
          <w:rFonts w:ascii="Arial" w:eastAsia="Calibri" w:hAnsi="Arial" w:cs="Arial"/>
          <w:color w:val="000000" w:themeColor="text1"/>
        </w:rPr>
        <w:t xml:space="preserve"> </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3"/>
        <w:gridCol w:w="6460"/>
        <w:gridCol w:w="2512"/>
      </w:tblGrid>
      <w:tr w:rsidR="00D93872" w14:paraId="55E43B31" w14:textId="77777777">
        <w:trPr>
          <w:jc w:val="center"/>
        </w:trPr>
        <w:tc>
          <w:tcPr>
            <w:tcW w:w="883"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auto"/>
            <w:vAlign w:val="center"/>
          </w:tcPr>
          <w:p w14:paraId="242977BF" w14:textId="77777777" w:rsidR="00D93872" w:rsidRDefault="00504F29" w:rsidP="000D1E35">
            <w:pPr>
              <w:spacing w:before="60" w:after="60" w:line="240" w:lineRule="auto"/>
              <w:jc w:val="center"/>
              <w:rPr>
                <w:rFonts w:ascii="Arial" w:hAnsi="Arial" w:cs="Arial"/>
                <w:b/>
                <w:color w:val="000000" w:themeColor="text1"/>
                <w:sz w:val="20"/>
                <w:szCs w:val="20"/>
              </w:rPr>
            </w:pPr>
            <w:r>
              <w:rPr>
                <w:rFonts w:ascii="Arial" w:hAnsi="Arial" w:cs="Arial"/>
                <w:b/>
                <w:color w:val="000000" w:themeColor="text1"/>
                <w:sz w:val="20"/>
                <w:szCs w:val="20"/>
              </w:rPr>
              <w:t>ITEM</w:t>
            </w:r>
          </w:p>
        </w:tc>
        <w:tc>
          <w:tcPr>
            <w:tcW w:w="6460"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auto"/>
            <w:vAlign w:val="center"/>
          </w:tcPr>
          <w:p w14:paraId="65E3AF94" w14:textId="77777777" w:rsidR="00D93872" w:rsidRDefault="00504F29" w:rsidP="000D1E35">
            <w:pPr>
              <w:spacing w:before="60" w:after="60" w:line="240" w:lineRule="auto"/>
              <w:jc w:val="center"/>
              <w:rPr>
                <w:rFonts w:ascii="Arial" w:hAnsi="Arial" w:cs="Arial"/>
                <w:b/>
                <w:color w:val="000000" w:themeColor="text1"/>
                <w:sz w:val="20"/>
                <w:szCs w:val="20"/>
              </w:rPr>
            </w:pPr>
            <w:r>
              <w:rPr>
                <w:rFonts w:ascii="Arial" w:hAnsi="Arial" w:cs="Arial"/>
                <w:b/>
                <w:color w:val="000000" w:themeColor="text1"/>
                <w:sz w:val="20"/>
                <w:szCs w:val="20"/>
              </w:rPr>
              <w:t>DESCRIÇÃO</w:t>
            </w:r>
          </w:p>
        </w:tc>
        <w:tc>
          <w:tcPr>
            <w:tcW w:w="2512"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auto"/>
            <w:vAlign w:val="center"/>
          </w:tcPr>
          <w:p w14:paraId="6AD3AEC2" w14:textId="77777777" w:rsidR="00D93872" w:rsidRDefault="00504F29" w:rsidP="000D1E35">
            <w:pPr>
              <w:spacing w:before="60" w:after="60" w:line="240" w:lineRule="auto"/>
              <w:jc w:val="center"/>
              <w:rPr>
                <w:rFonts w:ascii="Arial" w:hAnsi="Arial" w:cs="Arial"/>
                <w:b/>
                <w:color w:val="000000" w:themeColor="text1"/>
                <w:sz w:val="20"/>
                <w:szCs w:val="20"/>
              </w:rPr>
            </w:pPr>
            <w:r>
              <w:rPr>
                <w:rFonts w:ascii="Arial" w:hAnsi="Arial" w:cs="Arial"/>
                <w:b/>
                <w:color w:val="000000" w:themeColor="text1"/>
                <w:sz w:val="20"/>
                <w:szCs w:val="20"/>
              </w:rPr>
              <w:t>PREÇO ESTIMADO C/BDI E MATRIZ DE RISCO</w:t>
            </w:r>
          </w:p>
        </w:tc>
      </w:tr>
      <w:tr w:rsidR="00D93872" w14:paraId="2FE6888A" w14:textId="77777777">
        <w:trPr>
          <w:jc w:val="center"/>
        </w:trPr>
        <w:tc>
          <w:tcPr>
            <w:tcW w:w="883"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auto"/>
            <w:vAlign w:val="center"/>
          </w:tcPr>
          <w:p w14:paraId="2FBFA43D" w14:textId="77777777" w:rsidR="00D93872" w:rsidRDefault="00504F29" w:rsidP="000D1E35">
            <w:pPr>
              <w:spacing w:before="60" w:after="60" w:line="240" w:lineRule="auto"/>
              <w:jc w:val="center"/>
              <w:rPr>
                <w:rFonts w:ascii="Arial" w:hAnsi="Arial" w:cs="Arial"/>
                <w:color w:val="000000" w:themeColor="text1"/>
                <w:sz w:val="20"/>
                <w:szCs w:val="20"/>
              </w:rPr>
            </w:pPr>
            <w:r>
              <w:rPr>
                <w:rFonts w:ascii="Arial" w:hAnsi="Arial" w:cs="Arial"/>
                <w:color w:val="000000" w:themeColor="text1"/>
                <w:sz w:val="20"/>
                <w:szCs w:val="20"/>
              </w:rPr>
              <w:t>ÚNICO</w:t>
            </w:r>
          </w:p>
        </w:tc>
        <w:tc>
          <w:tcPr>
            <w:tcW w:w="6460"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auto"/>
            <w:vAlign w:val="center"/>
          </w:tcPr>
          <w:p w14:paraId="660C7F0A" w14:textId="77777777" w:rsidR="00D93872" w:rsidRDefault="00504F29" w:rsidP="000D1E35">
            <w:pPr>
              <w:spacing w:before="60" w:after="60" w:line="240" w:lineRule="auto"/>
              <w:rPr>
                <w:rFonts w:ascii="Arial" w:hAnsi="Arial" w:cs="Arial"/>
                <w:color w:val="000000" w:themeColor="text1"/>
                <w:sz w:val="20"/>
                <w:szCs w:val="20"/>
              </w:rPr>
            </w:pPr>
            <w:r>
              <w:rPr>
                <w:rFonts w:ascii="Arial" w:hAnsi="Arial"/>
                <w:color w:val="000000" w:themeColor="text1"/>
                <w:sz w:val="20"/>
                <w:szCs w:val="20"/>
              </w:rPr>
              <w:t>Contratação de empresa para 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tc>
        <w:tc>
          <w:tcPr>
            <w:tcW w:w="2512"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auto"/>
            <w:vAlign w:val="center"/>
          </w:tcPr>
          <w:p w14:paraId="08729C65" w14:textId="4AA5044A" w:rsidR="00D93872" w:rsidRDefault="00504F29" w:rsidP="000D1E35">
            <w:pPr>
              <w:spacing w:before="60" w:after="60"/>
              <w:jc w:val="center"/>
              <w:textAlignment w:val="center"/>
              <w:rPr>
                <w:rFonts w:ascii="Arial" w:hAnsi="Arial" w:cs="Arial"/>
                <w:bCs/>
                <w:color w:val="000000" w:themeColor="text1"/>
                <w:sz w:val="20"/>
                <w:szCs w:val="20"/>
              </w:rPr>
            </w:pPr>
            <w:r>
              <w:rPr>
                <w:rFonts w:ascii="Arial" w:hAnsi="Arial"/>
                <w:bCs/>
                <w:color w:val="000000" w:themeColor="text1"/>
                <w:sz w:val="20"/>
                <w:szCs w:val="20"/>
              </w:rPr>
              <w:t>R$ 4.</w:t>
            </w:r>
            <w:r w:rsidR="0032257D">
              <w:rPr>
                <w:rFonts w:ascii="Arial" w:hAnsi="Arial"/>
                <w:bCs/>
                <w:color w:val="000000" w:themeColor="text1"/>
                <w:sz w:val="20"/>
                <w:szCs w:val="20"/>
              </w:rPr>
              <w:t>457.508,33</w:t>
            </w:r>
          </w:p>
        </w:tc>
      </w:tr>
      <w:tr w:rsidR="00D93872" w14:paraId="102B632C" w14:textId="77777777">
        <w:trPr>
          <w:jc w:val="center"/>
        </w:trPr>
        <w:tc>
          <w:tcPr>
            <w:tcW w:w="883"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C6D9F1" w:themeFill="text2" w:themeFillTint="33"/>
            <w:vAlign w:val="center"/>
          </w:tcPr>
          <w:p w14:paraId="3A10D24D" w14:textId="77777777" w:rsidR="00D93872" w:rsidRDefault="00D93872" w:rsidP="000D1E35">
            <w:pPr>
              <w:spacing w:before="60" w:after="60" w:line="240" w:lineRule="auto"/>
              <w:jc w:val="center"/>
              <w:rPr>
                <w:rFonts w:ascii="Arial" w:hAnsi="Arial" w:cs="Arial"/>
                <w:color w:val="000000" w:themeColor="text1"/>
                <w:sz w:val="20"/>
                <w:szCs w:val="20"/>
              </w:rPr>
            </w:pPr>
          </w:p>
        </w:tc>
        <w:tc>
          <w:tcPr>
            <w:tcW w:w="6460"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C6D9F1" w:themeFill="text2" w:themeFillTint="33"/>
            <w:vAlign w:val="center"/>
          </w:tcPr>
          <w:p w14:paraId="3260A858" w14:textId="77777777" w:rsidR="00D93872" w:rsidRDefault="00504F29" w:rsidP="000D1E35">
            <w:pPr>
              <w:spacing w:before="60" w:after="60" w:line="240" w:lineRule="auto"/>
              <w:rPr>
                <w:rFonts w:ascii="Arial" w:hAnsi="Arial" w:cs="Arial"/>
                <w:color w:val="000000" w:themeColor="text1"/>
                <w:sz w:val="20"/>
                <w:szCs w:val="20"/>
              </w:rPr>
            </w:pPr>
            <w:r>
              <w:rPr>
                <w:rFonts w:ascii="Arial" w:hAnsi="Arial" w:cs="Arial"/>
                <w:b/>
                <w:color w:val="000000" w:themeColor="text1"/>
                <w:sz w:val="20"/>
                <w:szCs w:val="20"/>
              </w:rPr>
              <w:t>VALOR TOTAL ESTIMADO</w:t>
            </w:r>
          </w:p>
        </w:tc>
        <w:tc>
          <w:tcPr>
            <w:tcW w:w="2512" w:type="dxa"/>
            <w:tc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tcBorders>
            <w:shd w:val="clear" w:color="auto" w:fill="C6D9F1" w:themeFill="text2" w:themeFillTint="33"/>
            <w:vAlign w:val="center"/>
          </w:tcPr>
          <w:p w14:paraId="4126FFAD" w14:textId="3BCBC509" w:rsidR="00D93872" w:rsidRDefault="00504F29" w:rsidP="000D1E35">
            <w:pPr>
              <w:spacing w:before="60" w:after="60"/>
              <w:jc w:val="center"/>
              <w:textAlignment w:val="center"/>
              <w:rPr>
                <w:rFonts w:ascii="Arial" w:hAnsi="Arial" w:cs="Arial"/>
                <w:b/>
                <w:color w:val="000000" w:themeColor="text1"/>
                <w:sz w:val="20"/>
                <w:szCs w:val="20"/>
              </w:rPr>
            </w:pPr>
            <w:r>
              <w:rPr>
                <w:rFonts w:ascii="Arial" w:hAnsi="Arial" w:cs="Arial"/>
                <w:b/>
                <w:color w:val="000000" w:themeColor="text1"/>
                <w:sz w:val="20"/>
                <w:szCs w:val="20"/>
              </w:rPr>
              <w:t>R$ 4.</w:t>
            </w:r>
            <w:r w:rsidR="0032257D">
              <w:rPr>
                <w:rFonts w:ascii="Arial" w:hAnsi="Arial" w:cs="Arial"/>
                <w:b/>
                <w:color w:val="000000" w:themeColor="text1"/>
                <w:sz w:val="20"/>
                <w:szCs w:val="20"/>
              </w:rPr>
              <w:t>457.508,33</w:t>
            </w:r>
          </w:p>
        </w:tc>
      </w:tr>
    </w:tbl>
    <w:p w14:paraId="65537B92"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4EB88A8C" w14:textId="77777777" w:rsidR="00D93872" w:rsidRDefault="00504F29">
      <w:pPr>
        <w:pStyle w:val="Ttulo1"/>
        <w:rPr>
          <w:rFonts w:cs="Arial"/>
          <w:color w:val="000000" w:themeColor="text1"/>
          <w:sz w:val="24"/>
        </w:rPr>
      </w:pPr>
      <w:bookmarkStart w:id="12" w:name="_Toc81472279"/>
      <w:r>
        <w:rPr>
          <w:rFonts w:cs="Arial"/>
          <w:color w:val="000000" w:themeColor="text1"/>
          <w:sz w:val="24"/>
        </w:rPr>
        <w:lastRenderedPageBreak/>
        <w:t>RESULTADOS PRETENDIDOS</w:t>
      </w:r>
      <w:bookmarkEnd w:id="12"/>
    </w:p>
    <w:p w14:paraId="18A7F607"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7E9623DC" w14:textId="77777777" w:rsidR="00D93872" w:rsidRDefault="00504F29">
      <w:pPr>
        <w:pStyle w:val="Default"/>
        <w:jc w:val="both"/>
        <w:rPr>
          <w:rFonts w:ascii="Arial" w:hAnsi="Arial"/>
          <w:color w:val="000000" w:themeColor="text1"/>
        </w:rPr>
      </w:pPr>
      <w:r>
        <w:rPr>
          <w:rFonts w:ascii="Arial" w:hAnsi="Arial" w:cs="Arial"/>
          <w:color w:val="000000" w:themeColor="text1"/>
        </w:rPr>
        <w:t>Os resultados pretendidos efetivamente decorrem em duas etapas executivas: a primeira se dá pelo bem-sucedido processo licitatório para c</w:t>
      </w:r>
      <w:r>
        <w:rPr>
          <w:rFonts w:ascii="Arial" w:hAnsi="Arial"/>
          <w:color w:val="000000" w:themeColor="text1"/>
        </w:rPr>
        <w:t>ontratação de empresa para 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p w14:paraId="60EAAD66" w14:textId="77777777" w:rsidR="00D93872" w:rsidRDefault="00D93872">
      <w:pPr>
        <w:pStyle w:val="Default"/>
        <w:jc w:val="both"/>
        <w:rPr>
          <w:rFonts w:ascii="Arial" w:hAnsi="Arial"/>
          <w:color w:val="000000" w:themeColor="text1"/>
        </w:rPr>
      </w:pPr>
    </w:p>
    <w:p w14:paraId="260B1346" w14:textId="77777777" w:rsidR="00D93872" w:rsidRDefault="00504F29">
      <w:pPr>
        <w:pStyle w:val="Default"/>
        <w:jc w:val="both"/>
        <w:rPr>
          <w:rFonts w:ascii="Arial" w:eastAsia="Calibri" w:hAnsi="Arial" w:cs="Arial"/>
          <w:color w:val="000000" w:themeColor="text1"/>
        </w:rPr>
      </w:pPr>
      <w:r>
        <w:rPr>
          <w:rFonts w:ascii="Arial" w:eastAsia="Calibri" w:hAnsi="Arial" w:cs="Arial"/>
          <w:color w:val="000000" w:themeColor="text1"/>
        </w:rPr>
        <w:t>A segunda etapa ocorrerá pela conclusão exitosa dos serviços supracitados, através das quais pretende-se possibilitar</w:t>
      </w:r>
      <w:r>
        <w:rPr>
          <w:rFonts w:ascii="Arial" w:hAnsi="Arial" w:cs="Arial"/>
          <w:color w:val="000000" w:themeColor="text1"/>
        </w:rPr>
        <w:t>:</w:t>
      </w:r>
    </w:p>
    <w:p w14:paraId="11EF2984" w14:textId="77777777" w:rsidR="00D93872" w:rsidRDefault="00D93872">
      <w:pPr>
        <w:pStyle w:val="Default"/>
        <w:jc w:val="both"/>
        <w:rPr>
          <w:rFonts w:ascii="Arial" w:hAnsi="Arial" w:cs="Arial"/>
          <w:color w:val="000000" w:themeColor="text1"/>
        </w:rPr>
      </w:pPr>
    </w:p>
    <w:p w14:paraId="1F187290"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s="Arial"/>
          <w:color w:val="000000" w:themeColor="text1"/>
          <w:sz w:val="24"/>
          <w:szCs w:val="24"/>
        </w:rPr>
        <w:t xml:space="preserve">Melhorar as condições de acesso </w:t>
      </w:r>
      <w:proofErr w:type="spellStart"/>
      <w:r>
        <w:rPr>
          <w:rFonts w:ascii="Arial" w:hAnsi="Arial" w:cs="Arial"/>
          <w:color w:val="000000" w:themeColor="text1"/>
          <w:sz w:val="24"/>
          <w:szCs w:val="24"/>
        </w:rPr>
        <w:t>a</w:t>
      </w:r>
      <w:proofErr w:type="spellEnd"/>
      <w:r>
        <w:rPr>
          <w:rFonts w:ascii="Arial" w:hAnsi="Arial" w:cs="Arial"/>
          <w:color w:val="000000" w:themeColor="text1"/>
          <w:sz w:val="24"/>
          <w:szCs w:val="24"/>
        </w:rPr>
        <w:t xml:space="preserve"> fonte de água por comunidades de caráter rural difusas do semiárido nordestino;</w:t>
      </w:r>
    </w:p>
    <w:p w14:paraId="07EFCE57"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s="Arial"/>
          <w:color w:val="000000" w:themeColor="text1"/>
          <w:sz w:val="24"/>
          <w:szCs w:val="24"/>
        </w:rPr>
        <w:t>Garantir segurança hídrica e alimentar às comunidades e associações atendidas durante períodos de seca;</w:t>
      </w:r>
    </w:p>
    <w:p w14:paraId="15CB92C9" w14:textId="12FD0B3C"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olor w:val="000000" w:themeColor="text1"/>
          <w:sz w:val="24"/>
          <w:szCs w:val="24"/>
        </w:rPr>
        <w:t>Melhorar a renda dos beneficiários por meio da implantação de reservatórios de água para dessedentação animal, combinado com outras ações desenvolvidas pela CODEVASF (distribuição de kits de irrigação, de apicultura, etc.), voltadas para a agricultura familiar e inclusão produtiva;</w:t>
      </w:r>
    </w:p>
    <w:p w14:paraId="3DCADED2"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olor w:val="000000" w:themeColor="text1"/>
          <w:sz w:val="24"/>
          <w:szCs w:val="24"/>
        </w:rPr>
        <w:t>Reduzir riscos de perda de produção em função do período de estiagem;</w:t>
      </w:r>
    </w:p>
    <w:p w14:paraId="2AD2E1CD"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s="Arial"/>
          <w:color w:val="000000" w:themeColor="text1"/>
          <w:sz w:val="24"/>
          <w:szCs w:val="24"/>
        </w:rPr>
        <w:t>Incentivar a agricultura e pecuária familiar;</w:t>
      </w:r>
    </w:p>
    <w:p w14:paraId="772D4232"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s="Arial"/>
          <w:color w:val="000000" w:themeColor="text1"/>
          <w:sz w:val="24"/>
          <w:szCs w:val="24"/>
        </w:rPr>
        <w:t>Amenizar os impactos socioeconômicos dos segmentos mais vulneráveis da população durante os períodos de seca intensa;</w:t>
      </w:r>
    </w:p>
    <w:p w14:paraId="1E51785E" w14:textId="77777777" w:rsidR="00D93872" w:rsidRDefault="00504F29">
      <w:pPr>
        <w:pStyle w:val="PargrafodaLista"/>
        <w:numPr>
          <w:ilvl w:val="0"/>
          <w:numId w:val="9"/>
        </w:numPr>
        <w:spacing w:line="240" w:lineRule="auto"/>
        <w:jc w:val="both"/>
        <w:rPr>
          <w:rFonts w:ascii="Arial" w:hAnsi="Arial" w:cs="Arial"/>
          <w:color w:val="000000" w:themeColor="text1"/>
          <w:sz w:val="24"/>
          <w:szCs w:val="24"/>
        </w:rPr>
      </w:pPr>
      <w:r>
        <w:rPr>
          <w:rFonts w:ascii="Arial" w:hAnsi="Arial" w:cs="Arial"/>
          <w:color w:val="000000" w:themeColor="text1"/>
          <w:sz w:val="24"/>
          <w:szCs w:val="24"/>
        </w:rPr>
        <w:t>Evitar o êxodo rural.</w:t>
      </w:r>
    </w:p>
    <w:p w14:paraId="36837FE5" w14:textId="77777777" w:rsidR="00D93872" w:rsidRDefault="00D93872">
      <w:pPr>
        <w:pStyle w:val="PargrafodaLista"/>
        <w:spacing w:after="52" w:line="240" w:lineRule="auto"/>
        <w:jc w:val="both"/>
        <w:rPr>
          <w:rFonts w:ascii="Arial" w:hAnsi="Arial" w:cs="Arial"/>
          <w:color w:val="000000" w:themeColor="text1"/>
          <w:sz w:val="24"/>
          <w:szCs w:val="24"/>
        </w:rPr>
      </w:pPr>
    </w:p>
    <w:p w14:paraId="6DCE548C" w14:textId="77777777" w:rsidR="00D93872" w:rsidRDefault="00504F29">
      <w:pPr>
        <w:pStyle w:val="Ttulo1"/>
        <w:rPr>
          <w:rFonts w:cs="Arial"/>
          <w:color w:val="000000" w:themeColor="text1"/>
          <w:sz w:val="24"/>
        </w:rPr>
      </w:pPr>
      <w:r>
        <w:rPr>
          <w:rFonts w:cs="Arial"/>
          <w:color w:val="000000" w:themeColor="text1"/>
          <w:sz w:val="24"/>
        </w:rPr>
        <w:t xml:space="preserve"> </w:t>
      </w:r>
      <w:bookmarkStart w:id="13" w:name="_Toc81472280"/>
      <w:r>
        <w:rPr>
          <w:rFonts w:cs="Arial"/>
          <w:color w:val="000000" w:themeColor="text1"/>
          <w:sz w:val="24"/>
        </w:rPr>
        <w:t>ALINHAMENTO DA DEMANDA COM O PLANEJAMENTO ESTRATÉGICO INSTITUCIONAL – PEI</w:t>
      </w:r>
      <w:bookmarkEnd w:id="13"/>
    </w:p>
    <w:p w14:paraId="1F8E6F54"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3651B5B8"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Tal demanda se alinha ao Planejamento Estratégico Institucional – PEI (2022-2026) da CODEVASF no que se refere à segurança hídrica e inclusão produtiva.</w:t>
      </w:r>
    </w:p>
    <w:p w14:paraId="77B52344"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7B16D638"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O detalhamento das ações da empresa consta no Plano Anual de Negócios da CODEVASF.</w:t>
      </w:r>
      <w:r>
        <w:rPr>
          <w:rFonts w:ascii="Arial" w:hAnsi="Arial" w:cs="Arial"/>
          <w:color w:val="000000" w:themeColor="text1"/>
          <w:sz w:val="24"/>
          <w:szCs w:val="24"/>
          <w:lang w:eastAsia="pt-BR"/>
        </w:rPr>
        <w:t xml:space="preserve">    </w:t>
      </w:r>
      <w:r>
        <w:rPr>
          <w:rFonts w:ascii="Arial" w:hAnsi="Arial" w:cs="Arial"/>
          <w:color w:val="000000" w:themeColor="text1"/>
          <w:sz w:val="24"/>
          <w:szCs w:val="24"/>
        </w:rPr>
        <w:t xml:space="preserve"> </w:t>
      </w:r>
      <w:r>
        <w:rPr>
          <w:rFonts w:ascii="Arial" w:hAnsi="Arial" w:cs="Arial"/>
          <w:color w:val="000000" w:themeColor="text1"/>
          <w:sz w:val="24"/>
          <w:szCs w:val="24"/>
          <w:lang w:eastAsia="pt-BR"/>
        </w:rPr>
        <w:t xml:space="preserve"> </w:t>
      </w:r>
      <w:r>
        <w:rPr>
          <w:rFonts w:ascii="Arial" w:hAnsi="Arial" w:cs="Arial"/>
          <w:color w:val="000000" w:themeColor="text1"/>
          <w:sz w:val="24"/>
          <w:szCs w:val="24"/>
        </w:rPr>
        <w:t xml:space="preserve">                                       </w:t>
      </w:r>
      <w:r>
        <w:rPr>
          <w:rFonts w:ascii="Arial" w:hAnsi="Arial" w:cs="Arial"/>
          <w:color w:val="000000" w:themeColor="text1"/>
          <w:sz w:val="24"/>
          <w:szCs w:val="24"/>
        </w:rPr>
        <w:br w:type="textWrapping" w:clear="all"/>
      </w:r>
    </w:p>
    <w:p w14:paraId="36251F8D" w14:textId="77777777" w:rsidR="00D93872" w:rsidRDefault="00504F29">
      <w:pPr>
        <w:pStyle w:val="Ttulo1"/>
        <w:rPr>
          <w:rFonts w:cs="Arial"/>
          <w:color w:val="000000" w:themeColor="text1"/>
          <w:sz w:val="24"/>
        </w:rPr>
      </w:pPr>
      <w:r>
        <w:rPr>
          <w:rFonts w:cs="Arial"/>
          <w:color w:val="000000" w:themeColor="text1"/>
          <w:sz w:val="24"/>
        </w:rPr>
        <w:t xml:space="preserve"> </w:t>
      </w:r>
      <w:bookmarkStart w:id="14" w:name="_Toc81472281"/>
      <w:r>
        <w:rPr>
          <w:rFonts w:cs="Arial"/>
          <w:color w:val="000000" w:themeColor="text1"/>
          <w:sz w:val="24"/>
        </w:rPr>
        <w:t>PROVIDÊNCIAS ADOTADAS PREVIAMENTE À CELEBRAÇÃO DO CONTRATO</w:t>
      </w:r>
      <w:bookmarkEnd w:id="14"/>
    </w:p>
    <w:p w14:paraId="49382BC7" w14:textId="77777777" w:rsidR="00D93872" w:rsidRDefault="00D93872">
      <w:pPr>
        <w:pStyle w:val="PargrafodaLista"/>
        <w:autoSpaceDE w:val="0"/>
        <w:autoSpaceDN w:val="0"/>
        <w:adjustRightInd w:val="0"/>
        <w:spacing w:after="0" w:line="240" w:lineRule="auto"/>
        <w:jc w:val="both"/>
        <w:rPr>
          <w:rFonts w:ascii="Arial" w:hAnsi="Arial" w:cs="Arial"/>
          <w:b/>
          <w:bCs/>
          <w:color w:val="000000" w:themeColor="text1"/>
          <w:sz w:val="24"/>
          <w:szCs w:val="24"/>
        </w:rPr>
      </w:pPr>
    </w:p>
    <w:p w14:paraId="0AF45D0B"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Dentre as providências a serem adotadas pela administração previamente à celebração do contrato, consta a indicação em TR e seus anexos do local onde serão executadas as obras/serviços, critérios para pagamento, lista de obrigações das partes contratuais, dentre outras informações e orientações relevantes.</w:t>
      </w:r>
    </w:p>
    <w:p w14:paraId="5BA22A1D"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7736806F"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No processo administrativo pertinente à contratação das obras/serviços constam todos os documentos cabíveis e necessários emitidos para o fiel cumprimento do objeto proposto, instrumento que irá nortear as ações competentes da fiscalização nomeada para tal.</w:t>
      </w:r>
    </w:p>
    <w:p w14:paraId="00EA23BB"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316964B9" w14:textId="77777777" w:rsidR="00D93872" w:rsidRDefault="00504F29">
      <w:pPr>
        <w:pStyle w:val="Ttulo1"/>
        <w:rPr>
          <w:rFonts w:cs="Arial"/>
          <w:color w:val="000000" w:themeColor="text1"/>
          <w:sz w:val="24"/>
        </w:rPr>
      </w:pPr>
      <w:r>
        <w:rPr>
          <w:rFonts w:cs="Arial"/>
          <w:color w:val="000000" w:themeColor="text1"/>
          <w:sz w:val="24"/>
        </w:rPr>
        <w:lastRenderedPageBreak/>
        <w:t xml:space="preserve">  </w:t>
      </w:r>
      <w:bookmarkStart w:id="15" w:name="_Toc81472282"/>
      <w:r>
        <w:rPr>
          <w:rFonts w:cs="Arial"/>
          <w:color w:val="000000" w:themeColor="text1"/>
          <w:sz w:val="24"/>
        </w:rPr>
        <w:t>IMPACTOS AMBIENTAIS E RESPECTIVAS MEDIDAS DE TRATAMENTO – CRITÉRIOS DE SUSTENTABILIDADE AMBIENTAL</w:t>
      </w:r>
      <w:bookmarkEnd w:id="15"/>
    </w:p>
    <w:p w14:paraId="3349D1FE" w14:textId="77777777" w:rsidR="00D93872" w:rsidRDefault="00504F29">
      <w:pPr>
        <w:pStyle w:val="Ttulo2"/>
        <w:numPr>
          <w:ilvl w:val="0"/>
          <w:numId w:val="0"/>
        </w:numPr>
        <w:spacing w:before="120" w:after="120"/>
        <w:contextualSpacing w:val="0"/>
        <w:rPr>
          <w:rFonts w:cs="Arial"/>
          <w:color w:val="000000" w:themeColor="text1"/>
          <w:sz w:val="24"/>
        </w:rPr>
      </w:pPr>
      <w:bookmarkStart w:id="16" w:name="_Toc81472283"/>
      <w:bookmarkStart w:id="17" w:name="_Toc81407824"/>
      <w:bookmarkStart w:id="18" w:name="_Toc81406307"/>
      <w:bookmarkStart w:id="19" w:name="_Toc81403868"/>
      <w:bookmarkStart w:id="20" w:name="_Toc80348798"/>
      <w:r>
        <w:rPr>
          <w:rFonts w:eastAsiaTheme="minorHAnsi" w:cs="Arial"/>
          <w:color w:val="000000" w:themeColor="text1"/>
          <w:sz w:val="24"/>
        </w:rPr>
        <w:t>A licitante contratada deverá adotar no que couber, as disposições da Instrução Normativa SLTI/MPOG N° 01, de 19 de janeiro de 2010 e da Resolução CONAMA Nº 257, de 30 de junho de 1999, para que seja assegurada a viabilidade técnica e o adequado tratamento do impacto ambiental específicos, inclusive:</w:t>
      </w:r>
      <w:bookmarkEnd w:id="16"/>
      <w:bookmarkEnd w:id="17"/>
      <w:bookmarkEnd w:id="18"/>
      <w:bookmarkEnd w:id="19"/>
      <w:bookmarkEnd w:id="20"/>
      <w:r>
        <w:rPr>
          <w:rFonts w:cs="Arial"/>
          <w:color w:val="000000" w:themeColor="text1"/>
          <w:sz w:val="24"/>
        </w:rPr>
        <w:t xml:space="preserve"> </w:t>
      </w:r>
    </w:p>
    <w:p w14:paraId="3209D8E0" w14:textId="77777777" w:rsidR="00D93872" w:rsidRDefault="00504F29">
      <w:pPr>
        <w:pStyle w:val="Ttulo2"/>
        <w:numPr>
          <w:ilvl w:val="1"/>
          <w:numId w:val="11"/>
        </w:numPr>
        <w:spacing w:before="120" w:after="120"/>
        <w:ind w:left="1276" w:hanging="567"/>
        <w:contextualSpacing w:val="0"/>
        <w:rPr>
          <w:rFonts w:cs="Arial"/>
          <w:color w:val="000000" w:themeColor="text1"/>
          <w:sz w:val="24"/>
        </w:rPr>
      </w:pPr>
      <w:bookmarkStart w:id="21" w:name="_Toc81406308"/>
      <w:bookmarkStart w:id="22" w:name="_Toc80348799"/>
      <w:bookmarkStart w:id="23" w:name="_Toc81407825"/>
      <w:bookmarkStart w:id="24" w:name="_Toc81403869"/>
      <w:bookmarkStart w:id="25" w:name="_Toc81472284"/>
      <w:r>
        <w:rPr>
          <w:rFonts w:cs="Arial"/>
          <w:color w:val="000000" w:themeColor="text1"/>
          <w:sz w:val="24"/>
        </w:rPr>
        <w:t>Adotar práticas de gestão que garantam os direitos trabalhistas e o atendimento às normas internas e de segurança e medicina do trabalho para seus empregados;</w:t>
      </w:r>
      <w:bookmarkEnd w:id="21"/>
      <w:bookmarkEnd w:id="22"/>
      <w:bookmarkEnd w:id="23"/>
      <w:bookmarkEnd w:id="24"/>
      <w:bookmarkEnd w:id="25"/>
    </w:p>
    <w:p w14:paraId="3ED1D22B" w14:textId="77777777" w:rsidR="00D93872" w:rsidRDefault="00504F29">
      <w:pPr>
        <w:pStyle w:val="Ttulo2"/>
        <w:numPr>
          <w:ilvl w:val="1"/>
          <w:numId w:val="11"/>
        </w:numPr>
        <w:spacing w:before="120" w:after="120"/>
        <w:ind w:left="1276" w:hanging="567"/>
        <w:contextualSpacing w:val="0"/>
        <w:rPr>
          <w:rFonts w:cs="Arial"/>
          <w:color w:val="000000" w:themeColor="text1"/>
          <w:sz w:val="24"/>
        </w:rPr>
      </w:pPr>
      <w:bookmarkStart w:id="26" w:name="_Toc81472285"/>
      <w:bookmarkStart w:id="27" w:name="_Toc81406309"/>
      <w:bookmarkStart w:id="28" w:name="_Toc81407826"/>
      <w:bookmarkStart w:id="29" w:name="_Toc80348800"/>
      <w:bookmarkStart w:id="30" w:name="_Toc81403870"/>
      <w:r>
        <w:rPr>
          <w:rFonts w:cs="Arial"/>
          <w:color w:val="000000" w:themeColor="text1"/>
          <w:sz w:val="24"/>
        </w:rPr>
        <w:t>Administrar situações emergenciais de acidentes com eficácia, mitigando os impactos aos empregados, colaboradores, usuários e ao meio ambiente;</w:t>
      </w:r>
      <w:bookmarkEnd w:id="26"/>
      <w:bookmarkEnd w:id="27"/>
      <w:bookmarkEnd w:id="28"/>
      <w:bookmarkEnd w:id="29"/>
      <w:bookmarkEnd w:id="30"/>
    </w:p>
    <w:p w14:paraId="12789414" w14:textId="77777777" w:rsidR="00D93872" w:rsidRDefault="00504F29">
      <w:pPr>
        <w:pStyle w:val="Ttulo2"/>
        <w:numPr>
          <w:ilvl w:val="1"/>
          <w:numId w:val="11"/>
        </w:numPr>
        <w:spacing w:before="120" w:after="120"/>
        <w:ind w:left="1276" w:hanging="567"/>
        <w:contextualSpacing w:val="0"/>
        <w:rPr>
          <w:rFonts w:cs="Arial"/>
          <w:color w:val="000000" w:themeColor="text1"/>
          <w:sz w:val="24"/>
        </w:rPr>
      </w:pPr>
      <w:bookmarkStart w:id="31" w:name="_Toc81403871"/>
      <w:bookmarkStart w:id="32" w:name="_Toc81472286"/>
      <w:bookmarkStart w:id="33" w:name="_Toc81407827"/>
      <w:bookmarkStart w:id="34" w:name="_Toc81406310"/>
      <w:bookmarkStart w:id="35" w:name="_Toc80348801"/>
      <w:r>
        <w:rPr>
          <w:rFonts w:cs="Arial"/>
          <w:color w:val="000000" w:themeColor="text1"/>
          <w:sz w:val="24"/>
        </w:rPr>
        <w:t>Disponibilizar os Equipamentos de Proteção Individual (EPIs) aos empregados para a execução das atividades de modo confortável, seguro e de acordo com as condições climáticas, favorecendo a qualidade de vida no ambiente de trabalho;</w:t>
      </w:r>
      <w:bookmarkEnd w:id="31"/>
      <w:bookmarkEnd w:id="32"/>
      <w:bookmarkEnd w:id="33"/>
      <w:bookmarkEnd w:id="34"/>
      <w:bookmarkEnd w:id="35"/>
    </w:p>
    <w:p w14:paraId="36D573F8" w14:textId="77777777" w:rsidR="00D93872" w:rsidRDefault="00504F29">
      <w:pPr>
        <w:pStyle w:val="Ttulo2"/>
        <w:numPr>
          <w:ilvl w:val="1"/>
          <w:numId w:val="11"/>
        </w:numPr>
        <w:spacing w:before="120" w:after="120"/>
        <w:ind w:left="1276" w:hanging="567"/>
        <w:contextualSpacing w:val="0"/>
        <w:rPr>
          <w:rFonts w:cs="Arial"/>
          <w:color w:val="000000" w:themeColor="text1"/>
          <w:sz w:val="24"/>
        </w:rPr>
      </w:pPr>
      <w:bookmarkStart w:id="36" w:name="_Toc81406311"/>
      <w:bookmarkStart w:id="37" w:name="_Toc81403872"/>
      <w:bookmarkStart w:id="38" w:name="_Toc80348802"/>
      <w:bookmarkStart w:id="39" w:name="_Toc81472287"/>
      <w:bookmarkStart w:id="40" w:name="_Toc81407828"/>
      <w:r>
        <w:rPr>
          <w:rFonts w:cs="Arial"/>
          <w:color w:val="000000" w:themeColor="text1"/>
          <w:sz w:val="24"/>
        </w:rPr>
        <w:t>Orientar sobre o cumprimento das normas de segurança e medicina do trabalho, tais como prevenção de incêndio nas áreas da prestação de serviço, zelando pela segurança e pela saúde dos usuários e da circunvizinhança;</w:t>
      </w:r>
      <w:bookmarkEnd w:id="36"/>
      <w:bookmarkEnd w:id="37"/>
      <w:bookmarkEnd w:id="38"/>
      <w:bookmarkEnd w:id="39"/>
      <w:bookmarkEnd w:id="40"/>
    </w:p>
    <w:p w14:paraId="35CECD7B" w14:textId="77777777" w:rsidR="00D93872" w:rsidRDefault="00504F29">
      <w:pPr>
        <w:pStyle w:val="Ttulo2"/>
        <w:numPr>
          <w:ilvl w:val="1"/>
          <w:numId w:val="11"/>
        </w:numPr>
        <w:spacing w:before="120" w:after="120"/>
        <w:ind w:left="1276" w:hanging="567"/>
        <w:contextualSpacing w:val="0"/>
        <w:rPr>
          <w:rFonts w:cs="Arial"/>
          <w:color w:val="000000" w:themeColor="text1"/>
          <w:sz w:val="24"/>
        </w:rPr>
      </w:pPr>
      <w:bookmarkStart w:id="41" w:name="_Toc80348803"/>
      <w:bookmarkStart w:id="42" w:name="_Toc81406312"/>
      <w:bookmarkStart w:id="43" w:name="_Toc81407829"/>
      <w:bookmarkStart w:id="44" w:name="_Toc81472288"/>
      <w:bookmarkStart w:id="45" w:name="_Toc81403873"/>
      <w:r>
        <w:rPr>
          <w:rFonts w:cs="Arial"/>
          <w:color w:val="000000" w:themeColor="text1"/>
          <w:sz w:val="24"/>
        </w:rPr>
        <w:t>Respeitar as Normas Brasileiras – NBR publicadas pela Associação Brasileira de Normas Técnicas sobre resíduos sólidos</w:t>
      </w:r>
      <w:bookmarkEnd w:id="41"/>
      <w:bookmarkEnd w:id="42"/>
      <w:bookmarkEnd w:id="43"/>
      <w:bookmarkEnd w:id="44"/>
      <w:bookmarkEnd w:id="45"/>
      <w:r>
        <w:rPr>
          <w:rFonts w:cs="Arial"/>
          <w:color w:val="000000" w:themeColor="text1"/>
          <w:sz w:val="24"/>
        </w:rPr>
        <w:t>.</w:t>
      </w:r>
    </w:p>
    <w:p w14:paraId="59ADC019" w14:textId="77777777" w:rsidR="00D93872" w:rsidRDefault="00D93872">
      <w:pPr>
        <w:spacing w:line="240" w:lineRule="auto"/>
        <w:rPr>
          <w:rFonts w:ascii="Arial" w:hAnsi="Arial" w:cs="Arial"/>
          <w:color w:val="000000" w:themeColor="text1"/>
          <w:sz w:val="24"/>
          <w:szCs w:val="24"/>
        </w:rPr>
      </w:pPr>
    </w:p>
    <w:p w14:paraId="79AF65CE" w14:textId="77777777" w:rsidR="00D93872" w:rsidRDefault="00504F29">
      <w:pPr>
        <w:pStyle w:val="Ttulo1"/>
        <w:rPr>
          <w:rFonts w:cs="Arial"/>
          <w:color w:val="000000" w:themeColor="text1"/>
          <w:sz w:val="24"/>
        </w:rPr>
      </w:pPr>
      <w:r>
        <w:rPr>
          <w:rFonts w:cs="Arial"/>
          <w:color w:val="000000" w:themeColor="text1"/>
          <w:sz w:val="24"/>
        </w:rPr>
        <w:t xml:space="preserve"> </w:t>
      </w:r>
      <w:bookmarkStart w:id="46" w:name="_Toc81472289"/>
      <w:r>
        <w:rPr>
          <w:rFonts w:cs="Arial"/>
          <w:color w:val="000000" w:themeColor="text1"/>
          <w:sz w:val="24"/>
        </w:rPr>
        <w:t>PARCELAMENTO DO OBJETO</w:t>
      </w:r>
      <w:bookmarkEnd w:id="46"/>
    </w:p>
    <w:p w14:paraId="58E19129"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608ABF83"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 xml:space="preserve">Recomenda-se o não parcelamento do objeto devido à natureza itinerante e complementar dos serviços necessários para escavação de material de 1ª categoria e preparação de reservatório de acumulação de água que, se contratados separadamente, poderiam causar prejuízos à Administração Pública e obstáculos na execução do objeto. </w:t>
      </w:r>
    </w:p>
    <w:p w14:paraId="45E1FAD4"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0960629F"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Os serviços de escavação de material de 1ª categoria e preparação de reservatório de acumulação de água previstos guardam compatibilidade entre si e consonância com a prática de mercado, uma vez que são serviços que precisam ser executados de forma encadeada e sem interrupções. Face ao exposto, se fossemos separar a licitação em itens, poderíamos ter problemas relacionados à execução do objeto, visto que seria inviável, tanto economicamente quanto pelo tempo que se gastaria, para que mais de uma empresa executasse um único reservatório.</w:t>
      </w:r>
    </w:p>
    <w:p w14:paraId="51B42BCD"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0801409A" w14:textId="77777777" w:rsidR="00D93872" w:rsidRDefault="00504F29">
      <w:pPr>
        <w:autoSpaceDE w:val="0"/>
        <w:autoSpaceDN w:val="0"/>
        <w:adjustRightInd w:val="0"/>
        <w:spacing w:after="0" w:line="240" w:lineRule="auto"/>
        <w:jc w:val="both"/>
        <w:rPr>
          <w:rFonts w:ascii="Arial" w:hAnsi="Arial" w:cs="Arial"/>
          <w:color w:val="000000" w:themeColor="text1"/>
          <w:sz w:val="24"/>
          <w:szCs w:val="24"/>
        </w:rPr>
      </w:pPr>
      <w:r>
        <w:rPr>
          <w:rFonts w:ascii="Arial" w:hAnsi="Arial" w:cs="Arial"/>
          <w:color w:val="000000" w:themeColor="text1"/>
          <w:sz w:val="24"/>
          <w:szCs w:val="24"/>
        </w:rPr>
        <w:t xml:space="preserve">Com efeito, pode-se obter custos mais vantajosos e </w:t>
      </w:r>
      <w:proofErr w:type="gramStart"/>
      <w:r>
        <w:rPr>
          <w:rFonts w:ascii="Arial" w:hAnsi="Arial" w:cs="Arial"/>
          <w:color w:val="000000" w:themeColor="text1"/>
          <w:sz w:val="24"/>
          <w:szCs w:val="24"/>
        </w:rPr>
        <w:t>economia  pela</w:t>
      </w:r>
      <w:proofErr w:type="gramEnd"/>
      <w:r>
        <w:rPr>
          <w:rFonts w:ascii="Arial" w:hAnsi="Arial" w:cs="Arial"/>
          <w:color w:val="000000" w:themeColor="text1"/>
          <w:sz w:val="24"/>
          <w:szCs w:val="24"/>
        </w:rPr>
        <w:t xml:space="preserve"> contratação em item único, sem prejuízos à isonomia e à competitividade no procedimento licitatório.</w:t>
      </w:r>
    </w:p>
    <w:p w14:paraId="13FD56A2" w14:textId="77777777" w:rsidR="00176B18" w:rsidRDefault="00176B18">
      <w:pPr>
        <w:autoSpaceDE w:val="0"/>
        <w:autoSpaceDN w:val="0"/>
        <w:adjustRightInd w:val="0"/>
        <w:spacing w:after="0" w:line="240" w:lineRule="auto"/>
        <w:jc w:val="both"/>
        <w:rPr>
          <w:rFonts w:ascii="Arial" w:hAnsi="Arial" w:cs="Arial"/>
          <w:color w:val="000000" w:themeColor="text1"/>
          <w:sz w:val="24"/>
          <w:szCs w:val="24"/>
        </w:rPr>
      </w:pPr>
    </w:p>
    <w:p w14:paraId="72799B86" w14:textId="77777777" w:rsidR="00D93872" w:rsidRDefault="00504F29">
      <w:pPr>
        <w:pStyle w:val="Ttulo1"/>
        <w:rPr>
          <w:rFonts w:cs="Arial"/>
          <w:color w:val="000000" w:themeColor="text1"/>
          <w:sz w:val="24"/>
        </w:rPr>
      </w:pPr>
      <w:bookmarkStart w:id="47" w:name="_Toc81472290"/>
      <w:r>
        <w:rPr>
          <w:rFonts w:cs="Arial"/>
          <w:color w:val="000000" w:themeColor="text1"/>
          <w:sz w:val="24"/>
        </w:rPr>
        <w:t>CONTRATAÇÕES CORRELATAS E/OU INTERDEPENDENTES</w:t>
      </w:r>
      <w:bookmarkEnd w:id="47"/>
    </w:p>
    <w:p w14:paraId="3E506049"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2C8AAD0F" w14:textId="77777777" w:rsidR="00D93872" w:rsidRDefault="00504F29">
      <w:pPr>
        <w:autoSpaceDE w:val="0"/>
        <w:autoSpaceDN w:val="0"/>
        <w:adjustRightInd w:val="0"/>
        <w:spacing w:after="0" w:line="240" w:lineRule="auto"/>
        <w:jc w:val="both"/>
        <w:rPr>
          <w:rFonts w:ascii="Arial" w:eastAsia="Calibri" w:hAnsi="Arial" w:cs="Arial"/>
          <w:color w:val="000000" w:themeColor="text1"/>
          <w:sz w:val="24"/>
          <w:szCs w:val="24"/>
        </w:rPr>
      </w:pPr>
      <w:r>
        <w:rPr>
          <w:rFonts w:ascii="Arial" w:hAnsi="Arial" w:cs="Arial"/>
          <w:color w:val="000000" w:themeColor="text1"/>
          <w:sz w:val="24"/>
          <w:szCs w:val="24"/>
        </w:rPr>
        <w:t>Não aplicável. Não se verifica contratações correlatas nem interdependentes para a viabilidade desta demanda.</w:t>
      </w:r>
    </w:p>
    <w:p w14:paraId="5F1DD870"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17051F2D" w14:textId="77777777" w:rsidR="00D93872" w:rsidRDefault="00504F29">
      <w:pPr>
        <w:pStyle w:val="Ttulo1"/>
        <w:rPr>
          <w:rFonts w:cs="Arial"/>
          <w:color w:val="000000" w:themeColor="text1"/>
          <w:sz w:val="24"/>
        </w:rPr>
      </w:pPr>
      <w:r>
        <w:rPr>
          <w:rFonts w:cs="Arial"/>
          <w:color w:val="000000" w:themeColor="text1"/>
          <w:sz w:val="24"/>
        </w:rPr>
        <w:t xml:space="preserve"> </w:t>
      </w:r>
      <w:bookmarkStart w:id="48" w:name="_Toc81472291"/>
      <w:r>
        <w:rPr>
          <w:rFonts w:cs="Arial"/>
          <w:color w:val="000000" w:themeColor="text1"/>
          <w:sz w:val="24"/>
        </w:rPr>
        <w:t>MODALIDADE E TIPO DE LICITAÇÃO</w:t>
      </w:r>
      <w:bookmarkEnd w:id="48"/>
      <w:r>
        <w:rPr>
          <w:rFonts w:cs="Arial"/>
          <w:color w:val="000000" w:themeColor="text1"/>
          <w:sz w:val="24"/>
        </w:rPr>
        <w:t xml:space="preserve"> </w:t>
      </w:r>
    </w:p>
    <w:p w14:paraId="3A89B6B2" w14:textId="77777777" w:rsidR="00D93872" w:rsidRDefault="00504F29">
      <w:pPr>
        <w:pStyle w:val="Ttulo2"/>
        <w:numPr>
          <w:ilvl w:val="0"/>
          <w:numId w:val="0"/>
        </w:numPr>
        <w:spacing w:before="120" w:after="120"/>
        <w:contextualSpacing w:val="0"/>
        <w:rPr>
          <w:rFonts w:cs="Arial"/>
          <w:sz w:val="24"/>
        </w:rPr>
      </w:pPr>
      <w:r>
        <w:rPr>
          <w:rFonts w:cs="Arial"/>
          <w:sz w:val="24"/>
        </w:rPr>
        <w:t>Esta é uma contratação interdependente que poderá ser utilizada por outras unidades da Codevasf, via Adesão, através do Sistema de Registro de Preço. Contudo, este objeto é voltado para atender municípios da área de atuação da 2ª Superintendência Regional da Codevasf, no estado da Bahia.</w:t>
      </w:r>
    </w:p>
    <w:p w14:paraId="5032B117" w14:textId="77777777" w:rsidR="00D93872" w:rsidRDefault="00D93872">
      <w:pPr>
        <w:autoSpaceDE w:val="0"/>
        <w:autoSpaceDN w:val="0"/>
        <w:adjustRightInd w:val="0"/>
        <w:spacing w:after="0" w:line="240" w:lineRule="auto"/>
        <w:jc w:val="both"/>
        <w:rPr>
          <w:rFonts w:ascii="Arial" w:hAnsi="Arial" w:cs="Arial"/>
          <w:color w:val="000000" w:themeColor="text1"/>
          <w:sz w:val="24"/>
          <w:szCs w:val="24"/>
        </w:rPr>
      </w:pPr>
    </w:p>
    <w:p w14:paraId="43C0A4CF" w14:textId="77777777" w:rsidR="00D93872" w:rsidRDefault="00504F29">
      <w:pPr>
        <w:pStyle w:val="Ttulo1"/>
        <w:rPr>
          <w:rFonts w:cs="Arial"/>
          <w:sz w:val="24"/>
        </w:rPr>
      </w:pPr>
      <w:r>
        <w:rPr>
          <w:rFonts w:cs="Arial"/>
          <w:sz w:val="24"/>
        </w:rPr>
        <w:t xml:space="preserve"> </w:t>
      </w:r>
      <w:bookmarkStart w:id="49" w:name="_Toc81472293"/>
      <w:r>
        <w:rPr>
          <w:rFonts w:cs="Arial"/>
          <w:sz w:val="24"/>
        </w:rPr>
        <w:t>CLASSIFICAÇÃO E INDICAÇÃO ORÇAMENTÁRIA</w:t>
      </w:r>
      <w:bookmarkEnd w:id="49"/>
      <w:r>
        <w:rPr>
          <w:rFonts w:cs="Arial"/>
          <w:sz w:val="24"/>
        </w:rPr>
        <w:t xml:space="preserve"> </w:t>
      </w:r>
    </w:p>
    <w:p w14:paraId="507F70CA" w14:textId="77777777" w:rsidR="00D93872" w:rsidRDefault="00504F29">
      <w:pPr>
        <w:pStyle w:val="Ttulo2"/>
        <w:numPr>
          <w:ilvl w:val="0"/>
          <w:numId w:val="0"/>
        </w:numPr>
        <w:spacing w:before="120" w:after="120"/>
        <w:contextualSpacing w:val="0"/>
        <w:rPr>
          <w:rFonts w:eastAsiaTheme="minorHAnsi" w:cs="Arial"/>
          <w:sz w:val="24"/>
        </w:rPr>
      </w:pPr>
      <w:bookmarkStart w:id="50" w:name="_Toc81403875"/>
      <w:bookmarkStart w:id="51" w:name="_Toc81407835"/>
      <w:bookmarkStart w:id="52" w:name="_Toc81406318"/>
      <w:bookmarkStart w:id="53" w:name="_Toc81472294"/>
      <w:r>
        <w:rPr>
          <w:rFonts w:eastAsiaTheme="minorHAnsi" w:cs="Arial"/>
          <w:sz w:val="24"/>
        </w:rPr>
        <w:t>Segundo o Decreto nº 7.892/2013, que regulamenta o sistema de registro de preços, o parágrafo §2º do artigo 7º diz que não é necessário indicar a dotação orçamentária, haja vista que esta somente será exigida para a formalização do contrato ou outro instrumento hábil.</w:t>
      </w:r>
    </w:p>
    <w:bookmarkEnd w:id="50"/>
    <w:bookmarkEnd w:id="51"/>
    <w:bookmarkEnd w:id="52"/>
    <w:bookmarkEnd w:id="53"/>
    <w:p w14:paraId="4416DC2F" w14:textId="77777777" w:rsidR="00D93872" w:rsidRDefault="00D93872">
      <w:pPr>
        <w:pStyle w:val="PargrafodaLista"/>
        <w:autoSpaceDE w:val="0"/>
        <w:autoSpaceDN w:val="0"/>
        <w:adjustRightInd w:val="0"/>
        <w:spacing w:after="0" w:line="240" w:lineRule="auto"/>
        <w:jc w:val="both"/>
        <w:rPr>
          <w:rFonts w:ascii="Arial" w:hAnsi="Arial" w:cs="Arial"/>
          <w:b/>
          <w:bCs/>
          <w:color w:val="000000" w:themeColor="text1"/>
          <w:sz w:val="24"/>
          <w:szCs w:val="24"/>
        </w:rPr>
      </w:pPr>
    </w:p>
    <w:p w14:paraId="3C09D902" w14:textId="77777777" w:rsidR="00D93872" w:rsidRDefault="00504F29">
      <w:pPr>
        <w:pStyle w:val="Ttulo1"/>
        <w:rPr>
          <w:rFonts w:cs="Arial"/>
          <w:color w:val="000000" w:themeColor="text1"/>
          <w:sz w:val="24"/>
        </w:rPr>
      </w:pPr>
      <w:r>
        <w:rPr>
          <w:rFonts w:cs="Arial"/>
          <w:color w:val="000000" w:themeColor="text1"/>
          <w:sz w:val="24"/>
        </w:rPr>
        <w:t xml:space="preserve"> </w:t>
      </w:r>
      <w:bookmarkStart w:id="54" w:name="_Toc81472295"/>
      <w:r>
        <w:rPr>
          <w:rFonts w:cs="Arial"/>
          <w:color w:val="000000" w:themeColor="text1"/>
          <w:sz w:val="24"/>
        </w:rPr>
        <w:t>SOBRE A VIABILIDADE E RAZOABILIDADE DA CONTRATAÇÃO</w:t>
      </w:r>
      <w:bookmarkEnd w:id="54"/>
    </w:p>
    <w:p w14:paraId="60D6E4B6" w14:textId="77777777" w:rsidR="00D93872" w:rsidRDefault="00D93872">
      <w:pPr>
        <w:pStyle w:val="NormalWeb"/>
        <w:spacing w:before="0" w:beforeAutospacing="0" w:after="0" w:afterAutospacing="0"/>
        <w:jc w:val="both"/>
        <w:rPr>
          <w:rFonts w:ascii="Arial" w:hAnsi="Arial" w:cs="Arial"/>
          <w:color w:val="000000" w:themeColor="text1"/>
        </w:rPr>
      </w:pPr>
    </w:p>
    <w:p w14:paraId="2F1102CB" w14:textId="77777777" w:rsidR="00D93872" w:rsidRDefault="00504F29">
      <w:pPr>
        <w:pStyle w:val="NormalWeb"/>
        <w:spacing w:before="0" w:beforeAutospacing="0" w:after="0" w:afterAutospacing="0"/>
        <w:jc w:val="both"/>
        <w:rPr>
          <w:rFonts w:ascii="Arial" w:hAnsi="Arial" w:cs="Arial"/>
          <w:color w:val="000000" w:themeColor="text1"/>
        </w:rPr>
      </w:pPr>
      <w:r>
        <w:rPr>
          <w:rFonts w:ascii="Arial" w:hAnsi="Arial" w:cs="Arial"/>
          <w:color w:val="000000" w:themeColor="text1"/>
        </w:rPr>
        <w:t>Os estudos preliminares evidenciaram que a contratação da solução descrita no item "DESCRIÇÃO DA SOLUÇÃO" se mostra tecnicamente possível e fundamentadamente necessária. Diante do exposto, declara-se ser viável a contratação pretendida.</w:t>
      </w:r>
    </w:p>
    <w:p w14:paraId="3AA4F612" w14:textId="77777777" w:rsidR="00D93872" w:rsidRDefault="00D93872">
      <w:pPr>
        <w:spacing w:line="240" w:lineRule="auto"/>
        <w:rPr>
          <w:rFonts w:ascii="Arial" w:hAnsi="Arial" w:cs="Arial"/>
          <w:color w:val="000000" w:themeColor="text1"/>
        </w:rPr>
      </w:pPr>
    </w:p>
    <w:p w14:paraId="6580DF96" w14:textId="77777777" w:rsidR="00D93872" w:rsidRDefault="00504F29">
      <w:pPr>
        <w:pStyle w:val="Ttulo1"/>
        <w:rPr>
          <w:rFonts w:cs="Arial"/>
          <w:color w:val="000000" w:themeColor="text1"/>
          <w:sz w:val="24"/>
        </w:rPr>
      </w:pPr>
      <w:bookmarkStart w:id="55" w:name="_Toc81472296"/>
      <w:r>
        <w:rPr>
          <w:rFonts w:cs="Arial"/>
          <w:color w:val="000000" w:themeColor="text1"/>
          <w:sz w:val="24"/>
        </w:rPr>
        <w:t>CONSIDERAÇÕES FINAIS</w:t>
      </w:r>
      <w:bookmarkEnd w:id="55"/>
      <w:r>
        <w:rPr>
          <w:rFonts w:cs="Arial"/>
          <w:color w:val="000000" w:themeColor="text1"/>
          <w:sz w:val="24"/>
        </w:rPr>
        <w:t xml:space="preserve"> </w:t>
      </w:r>
    </w:p>
    <w:p w14:paraId="1C0E6F89" w14:textId="77777777" w:rsidR="00D93872" w:rsidRDefault="00D93872">
      <w:pPr>
        <w:pStyle w:val="PargrafodaLista"/>
        <w:autoSpaceDE w:val="0"/>
        <w:autoSpaceDN w:val="0"/>
        <w:adjustRightInd w:val="0"/>
        <w:spacing w:after="0" w:line="240" w:lineRule="auto"/>
        <w:rPr>
          <w:rFonts w:ascii="Arial" w:hAnsi="Arial" w:cs="Arial"/>
          <w:b/>
          <w:color w:val="000000" w:themeColor="text1"/>
          <w:sz w:val="24"/>
          <w:szCs w:val="24"/>
        </w:rPr>
      </w:pPr>
    </w:p>
    <w:p w14:paraId="70D99FC7" w14:textId="77777777" w:rsidR="00D93872" w:rsidRDefault="00504F29">
      <w:pPr>
        <w:pStyle w:val="Default"/>
        <w:jc w:val="both"/>
        <w:rPr>
          <w:rFonts w:ascii="Arial" w:hAnsi="Arial"/>
          <w:color w:val="000000" w:themeColor="text1"/>
        </w:rPr>
      </w:pPr>
      <w:r>
        <w:rPr>
          <w:rFonts w:ascii="Arial" w:hAnsi="Arial" w:cs="Arial"/>
          <w:color w:val="000000" w:themeColor="text1"/>
        </w:rPr>
        <w:t>Considerando a missão da CODEVASF (desenvolver bacias hidrográficas de forma integrada e sustentável, contribuindo para a redução das desigualdades regionais), entende-se necessária a realização de licitação, visando à c</w:t>
      </w:r>
      <w:r>
        <w:rPr>
          <w:rFonts w:ascii="Arial" w:hAnsi="Arial"/>
          <w:color w:val="000000" w:themeColor="text1"/>
        </w:rPr>
        <w:t>ontratação de empresa para execução de serviços de escavação em solo de 1ª categoria, objetivando à implantação de reservatórios para acúmulo de água em comunidades de caráter rural em diversos municípios do estado da Bahia, na área de atuação da 2ª Superintendência Regional da CODEVASF.</w:t>
      </w:r>
    </w:p>
    <w:p w14:paraId="67D37A4B" w14:textId="77777777" w:rsidR="00D93872" w:rsidRDefault="00D93872">
      <w:pPr>
        <w:pStyle w:val="Default"/>
        <w:jc w:val="both"/>
        <w:rPr>
          <w:rFonts w:ascii="Arial" w:hAnsi="Arial"/>
          <w:color w:val="000000" w:themeColor="text1"/>
        </w:rPr>
      </w:pPr>
    </w:p>
    <w:p w14:paraId="370789C1" w14:textId="039D6411" w:rsidR="00D93872" w:rsidRDefault="00504F29">
      <w:pPr>
        <w:pStyle w:val="Default"/>
        <w:jc w:val="both"/>
        <w:rPr>
          <w:rFonts w:ascii="Arial" w:hAnsi="Arial"/>
          <w:color w:val="000000" w:themeColor="text1"/>
        </w:rPr>
      </w:pPr>
      <w:r>
        <w:rPr>
          <w:rFonts w:ascii="Arial" w:hAnsi="Arial"/>
          <w:color w:val="000000" w:themeColor="text1"/>
        </w:rPr>
        <w:t>A 2ª Superintendência Regional da Codevasf possui grande expertise na implantação de reservatórios escavados para acumulação de água, como podem ser observados nos reservatórios visualizados por meio das figuras apresentadas a seguir:</w:t>
      </w:r>
    </w:p>
    <w:p w14:paraId="4814845E" w14:textId="77777777" w:rsidR="00F41905" w:rsidRDefault="00F41905">
      <w:pPr>
        <w:pStyle w:val="Default"/>
        <w:jc w:val="both"/>
        <w:rPr>
          <w:rFonts w:ascii="Arial" w:hAnsi="Arial"/>
          <w:color w:val="000000" w:themeColor="text1"/>
        </w:rPr>
      </w:pPr>
    </w:p>
    <w:p w14:paraId="373C8A47" w14:textId="77777777" w:rsidR="00D93872" w:rsidRDefault="00D93872">
      <w:pPr>
        <w:pStyle w:val="Default"/>
        <w:jc w:val="both"/>
        <w:rPr>
          <w:rFonts w:ascii="Arial" w:hAnsi="Arial"/>
          <w:color w:val="000000" w:themeColor="text1"/>
        </w:rPr>
      </w:pPr>
    </w:p>
    <w:tbl>
      <w:tblPr>
        <w:tblStyle w:val="Tabelacomgrade"/>
        <w:tblW w:w="0" w:type="auto"/>
        <w:tblLook w:val="04A0" w:firstRow="1" w:lastRow="0" w:firstColumn="1" w:lastColumn="0" w:noHBand="0" w:noVBand="1"/>
      </w:tblPr>
      <w:tblGrid>
        <w:gridCol w:w="4814"/>
        <w:gridCol w:w="4815"/>
      </w:tblGrid>
      <w:tr w:rsidR="00D93872" w14:paraId="50B64E9B" w14:textId="77777777">
        <w:tc>
          <w:tcPr>
            <w:tcW w:w="4814" w:type="dxa"/>
            <w:tcBorders>
              <w:top w:val="nil"/>
              <w:left w:val="nil"/>
              <w:bottom w:val="nil"/>
              <w:right w:val="nil"/>
            </w:tcBorders>
          </w:tcPr>
          <w:p w14:paraId="2891A57A" w14:textId="77777777" w:rsidR="00D93872" w:rsidRDefault="00504F29">
            <w:pPr>
              <w:pStyle w:val="Default"/>
              <w:jc w:val="center"/>
              <w:rPr>
                <w:rFonts w:ascii="Arial" w:hAnsi="Arial"/>
                <w:color w:val="000000" w:themeColor="text1"/>
                <w:sz w:val="16"/>
                <w:szCs w:val="16"/>
              </w:rPr>
            </w:pPr>
            <w:r>
              <w:rPr>
                <w:rFonts w:ascii="Arial" w:hAnsi="Arial"/>
                <w:noProof/>
                <w:color w:val="000000" w:themeColor="text1"/>
                <w:sz w:val="16"/>
                <w:szCs w:val="16"/>
              </w:rPr>
              <w:lastRenderedPageBreak/>
              <w:drawing>
                <wp:inline distT="0" distB="0" distL="0" distR="0" wp14:anchorId="78511473" wp14:editId="443014DE">
                  <wp:extent cx="2634615" cy="2051685"/>
                  <wp:effectExtent l="0" t="0" r="0" b="571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pic:cNvPicPr>
                            <a:picLocks noChangeAspect="1"/>
                          </pic:cNvPicPr>
                        </pic:nvPicPr>
                        <pic:blipFill>
                          <a:blip r:embed="rId14"/>
                          <a:stretch>
                            <a:fillRect/>
                          </a:stretch>
                        </pic:blipFill>
                        <pic:spPr>
                          <a:xfrm>
                            <a:off x="0" y="0"/>
                            <a:ext cx="2635200" cy="2052000"/>
                          </a:xfrm>
                          <a:prstGeom prst="rect">
                            <a:avLst/>
                          </a:prstGeom>
                        </pic:spPr>
                      </pic:pic>
                    </a:graphicData>
                  </a:graphic>
                </wp:inline>
              </w:drawing>
            </w:r>
          </w:p>
          <w:p w14:paraId="7686116F" w14:textId="2B7B644D" w:rsidR="00D93872" w:rsidRDefault="00504F29">
            <w:pPr>
              <w:pStyle w:val="Default"/>
              <w:jc w:val="center"/>
              <w:rPr>
                <w:rFonts w:ascii="Arial" w:hAnsi="Arial"/>
                <w:color w:val="000000" w:themeColor="text1"/>
                <w:sz w:val="16"/>
                <w:szCs w:val="16"/>
              </w:rPr>
            </w:pPr>
            <w:r>
              <w:rPr>
                <w:rFonts w:ascii="Arial" w:hAnsi="Arial"/>
                <w:color w:val="000000" w:themeColor="text1"/>
                <w:sz w:val="16"/>
                <w:szCs w:val="16"/>
              </w:rPr>
              <w:t>(</w:t>
            </w:r>
            <w:r w:rsidR="00F41905">
              <w:rPr>
                <w:rFonts w:ascii="Arial" w:hAnsi="Arial"/>
                <w:color w:val="000000" w:themeColor="text1"/>
                <w:sz w:val="16"/>
                <w:szCs w:val="16"/>
              </w:rPr>
              <w:t>4</w:t>
            </w:r>
            <w:r>
              <w:rPr>
                <w:rFonts w:ascii="Arial" w:hAnsi="Arial"/>
                <w:color w:val="000000" w:themeColor="text1"/>
                <w:sz w:val="16"/>
                <w:szCs w:val="16"/>
              </w:rPr>
              <w:t>)</w:t>
            </w:r>
          </w:p>
        </w:tc>
        <w:tc>
          <w:tcPr>
            <w:tcW w:w="4815" w:type="dxa"/>
            <w:tcBorders>
              <w:top w:val="nil"/>
              <w:left w:val="nil"/>
              <w:bottom w:val="nil"/>
              <w:right w:val="nil"/>
            </w:tcBorders>
          </w:tcPr>
          <w:p w14:paraId="1057C08B" w14:textId="77777777" w:rsidR="00D93872" w:rsidRDefault="00504F29">
            <w:pPr>
              <w:pStyle w:val="Default"/>
              <w:jc w:val="center"/>
              <w:rPr>
                <w:rFonts w:ascii="Arial" w:hAnsi="Arial"/>
                <w:color w:val="000000" w:themeColor="text1"/>
                <w:sz w:val="16"/>
                <w:szCs w:val="16"/>
              </w:rPr>
            </w:pPr>
            <w:r>
              <w:rPr>
                <w:rFonts w:ascii="Arial" w:hAnsi="Arial"/>
                <w:noProof/>
                <w:color w:val="000000" w:themeColor="text1"/>
                <w:sz w:val="16"/>
                <w:szCs w:val="16"/>
              </w:rPr>
              <w:drawing>
                <wp:inline distT="0" distB="0" distL="0" distR="0" wp14:anchorId="323FA7CA" wp14:editId="4F14C50D">
                  <wp:extent cx="2634615" cy="2051685"/>
                  <wp:effectExtent l="0" t="0" r="0" b="571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a:picLocks noChangeAspect="1"/>
                          </pic:cNvPicPr>
                        </pic:nvPicPr>
                        <pic:blipFill>
                          <a:blip r:embed="rId15"/>
                          <a:stretch>
                            <a:fillRect/>
                          </a:stretch>
                        </pic:blipFill>
                        <pic:spPr>
                          <a:xfrm>
                            <a:off x="0" y="0"/>
                            <a:ext cx="2635200" cy="2052000"/>
                          </a:xfrm>
                          <a:prstGeom prst="rect">
                            <a:avLst/>
                          </a:prstGeom>
                        </pic:spPr>
                      </pic:pic>
                    </a:graphicData>
                  </a:graphic>
                </wp:inline>
              </w:drawing>
            </w:r>
          </w:p>
          <w:p w14:paraId="118259A8" w14:textId="68BD6BC3" w:rsidR="00D93872" w:rsidRDefault="00504F29">
            <w:pPr>
              <w:pStyle w:val="Default"/>
              <w:jc w:val="center"/>
              <w:rPr>
                <w:rFonts w:ascii="Arial" w:hAnsi="Arial"/>
                <w:color w:val="000000" w:themeColor="text1"/>
                <w:sz w:val="16"/>
                <w:szCs w:val="16"/>
              </w:rPr>
            </w:pPr>
            <w:r>
              <w:rPr>
                <w:rFonts w:ascii="Arial" w:hAnsi="Arial"/>
                <w:color w:val="000000" w:themeColor="text1"/>
                <w:sz w:val="16"/>
                <w:szCs w:val="16"/>
              </w:rPr>
              <w:t>(</w:t>
            </w:r>
            <w:r w:rsidR="00F41905">
              <w:rPr>
                <w:rFonts w:ascii="Arial" w:hAnsi="Arial"/>
                <w:color w:val="000000" w:themeColor="text1"/>
                <w:sz w:val="16"/>
                <w:szCs w:val="16"/>
              </w:rPr>
              <w:t>5</w:t>
            </w:r>
            <w:r>
              <w:rPr>
                <w:rFonts w:ascii="Arial" w:hAnsi="Arial"/>
                <w:color w:val="000000" w:themeColor="text1"/>
                <w:sz w:val="16"/>
                <w:szCs w:val="16"/>
              </w:rPr>
              <w:t>)</w:t>
            </w:r>
          </w:p>
        </w:tc>
      </w:tr>
      <w:tr w:rsidR="00D93872" w14:paraId="7E881B50" w14:textId="77777777">
        <w:tc>
          <w:tcPr>
            <w:tcW w:w="9629" w:type="dxa"/>
            <w:gridSpan w:val="2"/>
            <w:tcBorders>
              <w:top w:val="nil"/>
              <w:left w:val="nil"/>
              <w:bottom w:val="nil"/>
              <w:right w:val="nil"/>
            </w:tcBorders>
          </w:tcPr>
          <w:p w14:paraId="7CF28292" w14:textId="439869B2" w:rsidR="00D93872" w:rsidRDefault="00504F29">
            <w:pPr>
              <w:pStyle w:val="Default"/>
              <w:jc w:val="both"/>
              <w:rPr>
                <w:rFonts w:ascii="Arial" w:hAnsi="Arial"/>
                <w:color w:val="000000" w:themeColor="text1"/>
                <w:sz w:val="16"/>
                <w:szCs w:val="16"/>
              </w:rPr>
            </w:pPr>
            <w:r>
              <w:rPr>
                <w:rFonts w:ascii="Arial" w:hAnsi="Arial"/>
                <w:b/>
                <w:bCs/>
                <w:color w:val="000000" w:themeColor="text1"/>
                <w:sz w:val="16"/>
                <w:szCs w:val="16"/>
              </w:rPr>
              <w:t xml:space="preserve">Figuras </w:t>
            </w:r>
            <w:r w:rsidR="00F41905">
              <w:rPr>
                <w:rFonts w:ascii="Arial" w:hAnsi="Arial"/>
                <w:b/>
                <w:bCs/>
                <w:color w:val="000000" w:themeColor="text1"/>
                <w:sz w:val="16"/>
                <w:szCs w:val="16"/>
              </w:rPr>
              <w:t>4</w:t>
            </w:r>
            <w:r>
              <w:rPr>
                <w:rFonts w:ascii="Arial" w:hAnsi="Arial"/>
                <w:b/>
                <w:bCs/>
                <w:color w:val="000000" w:themeColor="text1"/>
                <w:sz w:val="16"/>
                <w:szCs w:val="16"/>
              </w:rPr>
              <w:t xml:space="preserve"> e </w:t>
            </w:r>
            <w:r w:rsidR="00F41905">
              <w:rPr>
                <w:rFonts w:ascii="Arial" w:hAnsi="Arial"/>
                <w:b/>
                <w:bCs/>
                <w:color w:val="000000" w:themeColor="text1"/>
                <w:sz w:val="16"/>
                <w:szCs w:val="16"/>
              </w:rPr>
              <w:t>5</w:t>
            </w:r>
            <w:r>
              <w:rPr>
                <w:rFonts w:ascii="Arial" w:hAnsi="Arial"/>
                <w:b/>
                <w:bCs/>
                <w:color w:val="000000" w:themeColor="text1"/>
                <w:sz w:val="16"/>
                <w:szCs w:val="16"/>
              </w:rPr>
              <w:t>:</w:t>
            </w:r>
            <w:r>
              <w:rPr>
                <w:rFonts w:ascii="Arial" w:hAnsi="Arial"/>
                <w:color w:val="000000" w:themeColor="text1"/>
                <w:sz w:val="16"/>
                <w:szCs w:val="16"/>
              </w:rPr>
              <w:t xml:space="preserve"> reservatórios escavados (aguadas) implantadas pela 2ª Superintendência Regional da Codevasf no município de Sebastião Laranjeiras-BA.</w:t>
            </w:r>
          </w:p>
        </w:tc>
      </w:tr>
    </w:tbl>
    <w:p w14:paraId="468CCB11" w14:textId="77777777" w:rsidR="00D93872" w:rsidRDefault="00D93872">
      <w:pPr>
        <w:pStyle w:val="Default"/>
        <w:jc w:val="both"/>
        <w:rPr>
          <w:rFonts w:ascii="Arial" w:hAnsi="Arial"/>
          <w:color w:val="000000" w:themeColor="text1"/>
        </w:rPr>
      </w:pPr>
    </w:p>
    <w:tbl>
      <w:tblPr>
        <w:tblStyle w:val="Tabelacomgrade"/>
        <w:tblW w:w="0" w:type="auto"/>
        <w:tblLook w:val="04A0" w:firstRow="1" w:lastRow="0" w:firstColumn="1" w:lastColumn="0" w:noHBand="0" w:noVBand="1"/>
      </w:tblPr>
      <w:tblGrid>
        <w:gridCol w:w="4814"/>
        <w:gridCol w:w="4815"/>
      </w:tblGrid>
      <w:tr w:rsidR="00D93872" w14:paraId="2E2BA8D3" w14:textId="77777777">
        <w:tc>
          <w:tcPr>
            <w:tcW w:w="4814" w:type="dxa"/>
            <w:tcBorders>
              <w:top w:val="nil"/>
              <w:left w:val="nil"/>
              <w:bottom w:val="nil"/>
              <w:right w:val="nil"/>
            </w:tcBorders>
          </w:tcPr>
          <w:p w14:paraId="22572085" w14:textId="77777777" w:rsidR="00D93872" w:rsidRDefault="00504F29">
            <w:pPr>
              <w:pStyle w:val="Default"/>
              <w:jc w:val="center"/>
              <w:rPr>
                <w:rFonts w:ascii="Arial" w:hAnsi="Arial"/>
                <w:color w:val="000000" w:themeColor="text1"/>
                <w:sz w:val="16"/>
                <w:szCs w:val="16"/>
              </w:rPr>
            </w:pPr>
            <w:r>
              <w:rPr>
                <w:rFonts w:ascii="Arial" w:hAnsi="Arial"/>
                <w:noProof/>
                <w:color w:val="000000" w:themeColor="text1"/>
                <w:sz w:val="16"/>
                <w:szCs w:val="16"/>
              </w:rPr>
              <w:drawing>
                <wp:inline distT="0" distB="0" distL="0" distR="0" wp14:anchorId="6AD8674D" wp14:editId="0AFFDE2D">
                  <wp:extent cx="2634615" cy="2051685"/>
                  <wp:effectExtent l="0" t="0" r="0" b="571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pic:cNvPicPr>
                            <a:picLocks noChangeAspect="1"/>
                          </pic:cNvPicPr>
                        </pic:nvPicPr>
                        <pic:blipFill>
                          <a:blip r:embed="rId16"/>
                          <a:stretch>
                            <a:fillRect/>
                          </a:stretch>
                        </pic:blipFill>
                        <pic:spPr>
                          <a:xfrm>
                            <a:off x="0" y="0"/>
                            <a:ext cx="2635200" cy="2052000"/>
                          </a:xfrm>
                          <a:prstGeom prst="rect">
                            <a:avLst/>
                          </a:prstGeom>
                        </pic:spPr>
                      </pic:pic>
                    </a:graphicData>
                  </a:graphic>
                </wp:inline>
              </w:drawing>
            </w:r>
          </w:p>
          <w:p w14:paraId="038763E3" w14:textId="44787214" w:rsidR="00D93872" w:rsidRDefault="00504F29">
            <w:pPr>
              <w:pStyle w:val="Default"/>
              <w:jc w:val="center"/>
              <w:rPr>
                <w:rFonts w:ascii="Arial" w:hAnsi="Arial"/>
                <w:color w:val="000000" w:themeColor="text1"/>
                <w:sz w:val="16"/>
                <w:szCs w:val="16"/>
              </w:rPr>
            </w:pPr>
            <w:r>
              <w:rPr>
                <w:rFonts w:ascii="Arial" w:hAnsi="Arial"/>
                <w:color w:val="000000" w:themeColor="text1"/>
                <w:sz w:val="16"/>
                <w:szCs w:val="16"/>
              </w:rPr>
              <w:t>(</w:t>
            </w:r>
            <w:r w:rsidR="00F41905">
              <w:rPr>
                <w:rFonts w:ascii="Arial" w:hAnsi="Arial"/>
                <w:color w:val="000000" w:themeColor="text1"/>
                <w:sz w:val="16"/>
                <w:szCs w:val="16"/>
              </w:rPr>
              <w:t>6</w:t>
            </w:r>
            <w:r>
              <w:rPr>
                <w:rFonts w:ascii="Arial" w:hAnsi="Arial"/>
                <w:color w:val="000000" w:themeColor="text1"/>
                <w:sz w:val="16"/>
                <w:szCs w:val="16"/>
              </w:rPr>
              <w:t>)</w:t>
            </w:r>
          </w:p>
        </w:tc>
        <w:tc>
          <w:tcPr>
            <w:tcW w:w="4815" w:type="dxa"/>
            <w:tcBorders>
              <w:top w:val="nil"/>
              <w:left w:val="nil"/>
              <w:bottom w:val="nil"/>
              <w:right w:val="nil"/>
            </w:tcBorders>
          </w:tcPr>
          <w:p w14:paraId="7C0FBF92" w14:textId="77777777" w:rsidR="00D93872" w:rsidRDefault="00504F29">
            <w:pPr>
              <w:pStyle w:val="Default"/>
              <w:jc w:val="center"/>
              <w:rPr>
                <w:rFonts w:ascii="Arial" w:hAnsi="Arial"/>
                <w:color w:val="000000" w:themeColor="text1"/>
                <w:sz w:val="16"/>
                <w:szCs w:val="16"/>
              </w:rPr>
            </w:pPr>
            <w:r>
              <w:rPr>
                <w:rFonts w:ascii="Arial" w:hAnsi="Arial"/>
                <w:noProof/>
                <w:color w:val="000000" w:themeColor="text1"/>
                <w:sz w:val="16"/>
                <w:szCs w:val="16"/>
              </w:rPr>
              <w:drawing>
                <wp:inline distT="0" distB="0" distL="0" distR="0" wp14:anchorId="14FB18BA" wp14:editId="7FF049C5">
                  <wp:extent cx="2634615" cy="2051685"/>
                  <wp:effectExtent l="0" t="0" r="0" b="571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pic:cNvPicPr>
                            <a:picLocks noChangeAspect="1"/>
                          </pic:cNvPicPr>
                        </pic:nvPicPr>
                        <pic:blipFill>
                          <a:blip r:embed="rId17"/>
                          <a:stretch>
                            <a:fillRect/>
                          </a:stretch>
                        </pic:blipFill>
                        <pic:spPr>
                          <a:xfrm>
                            <a:off x="0" y="0"/>
                            <a:ext cx="2635200" cy="2052000"/>
                          </a:xfrm>
                          <a:prstGeom prst="rect">
                            <a:avLst/>
                          </a:prstGeom>
                        </pic:spPr>
                      </pic:pic>
                    </a:graphicData>
                  </a:graphic>
                </wp:inline>
              </w:drawing>
            </w:r>
          </w:p>
          <w:p w14:paraId="03354884" w14:textId="091CF974" w:rsidR="00D93872" w:rsidRDefault="00504F29">
            <w:pPr>
              <w:pStyle w:val="Default"/>
              <w:jc w:val="center"/>
              <w:rPr>
                <w:rFonts w:ascii="Arial" w:hAnsi="Arial"/>
                <w:color w:val="000000" w:themeColor="text1"/>
                <w:sz w:val="16"/>
                <w:szCs w:val="16"/>
              </w:rPr>
            </w:pPr>
            <w:r>
              <w:rPr>
                <w:rFonts w:ascii="Arial" w:hAnsi="Arial"/>
                <w:color w:val="000000" w:themeColor="text1"/>
                <w:sz w:val="16"/>
                <w:szCs w:val="16"/>
              </w:rPr>
              <w:t>(</w:t>
            </w:r>
            <w:r w:rsidR="00F41905">
              <w:rPr>
                <w:rFonts w:ascii="Arial" w:hAnsi="Arial"/>
                <w:color w:val="000000" w:themeColor="text1"/>
                <w:sz w:val="16"/>
                <w:szCs w:val="16"/>
              </w:rPr>
              <w:t>7</w:t>
            </w:r>
            <w:r>
              <w:rPr>
                <w:rFonts w:ascii="Arial" w:hAnsi="Arial"/>
                <w:color w:val="000000" w:themeColor="text1"/>
                <w:sz w:val="16"/>
                <w:szCs w:val="16"/>
              </w:rPr>
              <w:t>)</w:t>
            </w:r>
          </w:p>
        </w:tc>
      </w:tr>
      <w:tr w:rsidR="00D93872" w14:paraId="669FF35F" w14:textId="77777777">
        <w:tc>
          <w:tcPr>
            <w:tcW w:w="9629" w:type="dxa"/>
            <w:gridSpan w:val="2"/>
            <w:tcBorders>
              <w:top w:val="nil"/>
              <w:left w:val="nil"/>
              <w:bottom w:val="nil"/>
              <w:right w:val="nil"/>
            </w:tcBorders>
          </w:tcPr>
          <w:p w14:paraId="5BF87B53" w14:textId="5BB18872" w:rsidR="00D93872" w:rsidRDefault="00504F29">
            <w:pPr>
              <w:pStyle w:val="Default"/>
              <w:jc w:val="both"/>
              <w:rPr>
                <w:rFonts w:ascii="Arial" w:hAnsi="Arial"/>
                <w:color w:val="000000" w:themeColor="text1"/>
                <w:sz w:val="16"/>
                <w:szCs w:val="16"/>
              </w:rPr>
            </w:pPr>
            <w:r>
              <w:rPr>
                <w:rFonts w:ascii="Arial" w:hAnsi="Arial"/>
                <w:b/>
                <w:bCs/>
                <w:color w:val="000000" w:themeColor="text1"/>
                <w:sz w:val="16"/>
                <w:szCs w:val="16"/>
              </w:rPr>
              <w:t xml:space="preserve">Figuras </w:t>
            </w:r>
            <w:r w:rsidR="00F41905">
              <w:rPr>
                <w:rFonts w:ascii="Arial" w:hAnsi="Arial"/>
                <w:b/>
                <w:bCs/>
                <w:color w:val="000000" w:themeColor="text1"/>
                <w:sz w:val="16"/>
                <w:szCs w:val="16"/>
              </w:rPr>
              <w:t>6</w:t>
            </w:r>
            <w:r>
              <w:rPr>
                <w:rFonts w:ascii="Arial" w:hAnsi="Arial"/>
                <w:b/>
                <w:bCs/>
                <w:color w:val="000000" w:themeColor="text1"/>
                <w:sz w:val="16"/>
                <w:szCs w:val="16"/>
              </w:rPr>
              <w:t xml:space="preserve"> e </w:t>
            </w:r>
            <w:r w:rsidR="00F41905">
              <w:rPr>
                <w:rFonts w:ascii="Arial" w:hAnsi="Arial"/>
                <w:b/>
                <w:bCs/>
                <w:color w:val="000000" w:themeColor="text1"/>
                <w:sz w:val="16"/>
                <w:szCs w:val="16"/>
              </w:rPr>
              <w:t>7</w:t>
            </w:r>
            <w:r>
              <w:rPr>
                <w:rFonts w:ascii="Arial" w:hAnsi="Arial"/>
                <w:b/>
                <w:bCs/>
                <w:color w:val="000000" w:themeColor="text1"/>
                <w:sz w:val="16"/>
                <w:szCs w:val="16"/>
              </w:rPr>
              <w:t>:</w:t>
            </w:r>
            <w:r>
              <w:rPr>
                <w:rFonts w:ascii="Arial" w:hAnsi="Arial"/>
                <w:color w:val="000000" w:themeColor="text1"/>
                <w:sz w:val="16"/>
                <w:szCs w:val="16"/>
              </w:rPr>
              <w:t xml:space="preserve"> reservatórios escavados (aguadas) implantadas pela 2ª Superintendência Regional da Codevasf no município de Boquira-BA.</w:t>
            </w:r>
          </w:p>
        </w:tc>
      </w:tr>
    </w:tbl>
    <w:p w14:paraId="214863A6" w14:textId="77777777" w:rsidR="00D93872" w:rsidRDefault="00D93872">
      <w:pPr>
        <w:pStyle w:val="Default"/>
        <w:jc w:val="both"/>
        <w:rPr>
          <w:rFonts w:ascii="Arial" w:hAnsi="Arial"/>
          <w:color w:val="000000" w:themeColor="text1"/>
        </w:rPr>
      </w:pPr>
    </w:p>
    <w:tbl>
      <w:tblPr>
        <w:tblStyle w:val="Tabelacomgrade"/>
        <w:tblW w:w="0" w:type="auto"/>
        <w:tblLook w:val="04A0" w:firstRow="1" w:lastRow="0" w:firstColumn="1" w:lastColumn="0" w:noHBand="0" w:noVBand="1"/>
      </w:tblPr>
      <w:tblGrid>
        <w:gridCol w:w="4814"/>
        <w:gridCol w:w="4815"/>
      </w:tblGrid>
      <w:tr w:rsidR="00D93872" w14:paraId="4EEBB73A" w14:textId="77777777">
        <w:tc>
          <w:tcPr>
            <w:tcW w:w="4814" w:type="dxa"/>
            <w:tcBorders>
              <w:top w:val="nil"/>
              <w:left w:val="nil"/>
              <w:bottom w:val="nil"/>
              <w:right w:val="nil"/>
            </w:tcBorders>
          </w:tcPr>
          <w:p w14:paraId="71238C80" w14:textId="77777777" w:rsidR="00D93872" w:rsidRDefault="00504F29">
            <w:pPr>
              <w:pStyle w:val="Default"/>
              <w:jc w:val="center"/>
              <w:rPr>
                <w:rFonts w:ascii="Arial" w:hAnsi="Arial"/>
                <w:color w:val="000000" w:themeColor="text1"/>
                <w:sz w:val="16"/>
                <w:szCs w:val="16"/>
              </w:rPr>
            </w:pPr>
            <w:r>
              <w:rPr>
                <w:rFonts w:ascii="Arial" w:hAnsi="Arial"/>
                <w:noProof/>
                <w:color w:val="000000" w:themeColor="text1"/>
                <w:sz w:val="16"/>
                <w:szCs w:val="16"/>
              </w:rPr>
              <w:drawing>
                <wp:inline distT="0" distB="0" distL="0" distR="0" wp14:anchorId="404AFF3B" wp14:editId="182E4D3B">
                  <wp:extent cx="2638425" cy="2051685"/>
                  <wp:effectExtent l="0" t="0" r="0" b="571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pic:cNvPicPr>
                            <a:picLocks noChangeAspect="1"/>
                          </pic:cNvPicPr>
                        </pic:nvPicPr>
                        <pic:blipFill>
                          <a:blip r:embed="rId18"/>
                          <a:stretch>
                            <a:fillRect/>
                          </a:stretch>
                        </pic:blipFill>
                        <pic:spPr>
                          <a:xfrm>
                            <a:off x="0" y="0"/>
                            <a:ext cx="2638800" cy="2052000"/>
                          </a:xfrm>
                          <a:prstGeom prst="rect">
                            <a:avLst/>
                          </a:prstGeom>
                        </pic:spPr>
                      </pic:pic>
                    </a:graphicData>
                  </a:graphic>
                </wp:inline>
              </w:drawing>
            </w:r>
          </w:p>
          <w:p w14:paraId="7BD2095A" w14:textId="7078308C" w:rsidR="00D93872" w:rsidRDefault="00504F29">
            <w:pPr>
              <w:pStyle w:val="Default"/>
              <w:jc w:val="center"/>
              <w:rPr>
                <w:rFonts w:ascii="Arial" w:hAnsi="Arial"/>
                <w:color w:val="000000" w:themeColor="text1"/>
                <w:sz w:val="16"/>
                <w:szCs w:val="16"/>
              </w:rPr>
            </w:pPr>
            <w:r>
              <w:rPr>
                <w:rFonts w:ascii="Arial" w:hAnsi="Arial"/>
                <w:color w:val="000000" w:themeColor="text1"/>
                <w:sz w:val="16"/>
                <w:szCs w:val="16"/>
              </w:rPr>
              <w:t>(</w:t>
            </w:r>
            <w:r w:rsidR="00F41905">
              <w:rPr>
                <w:rFonts w:ascii="Arial" w:hAnsi="Arial"/>
                <w:color w:val="000000" w:themeColor="text1"/>
                <w:sz w:val="16"/>
                <w:szCs w:val="16"/>
              </w:rPr>
              <w:t>8</w:t>
            </w:r>
            <w:r>
              <w:rPr>
                <w:rFonts w:ascii="Arial" w:hAnsi="Arial"/>
                <w:color w:val="000000" w:themeColor="text1"/>
                <w:sz w:val="16"/>
                <w:szCs w:val="16"/>
              </w:rPr>
              <w:t>)</w:t>
            </w:r>
          </w:p>
        </w:tc>
        <w:tc>
          <w:tcPr>
            <w:tcW w:w="4815" w:type="dxa"/>
            <w:tcBorders>
              <w:top w:val="nil"/>
              <w:left w:val="nil"/>
              <w:bottom w:val="nil"/>
              <w:right w:val="nil"/>
            </w:tcBorders>
          </w:tcPr>
          <w:p w14:paraId="43BDAF77" w14:textId="77777777" w:rsidR="00D93872" w:rsidRDefault="00504F29">
            <w:pPr>
              <w:pStyle w:val="Default"/>
              <w:jc w:val="center"/>
              <w:rPr>
                <w:rFonts w:ascii="Arial" w:hAnsi="Arial"/>
                <w:color w:val="000000" w:themeColor="text1"/>
                <w:sz w:val="16"/>
                <w:szCs w:val="16"/>
              </w:rPr>
            </w:pPr>
            <w:r>
              <w:rPr>
                <w:rFonts w:ascii="Arial" w:hAnsi="Arial"/>
                <w:noProof/>
                <w:color w:val="000000" w:themeColor="text1"/>
                <w:sz w:val="16"/>
                <w:szCs w:val="16"/>
              </w:rPr>
              <w:drawing>
                <wp:inline distT="0" distB="0" distL="0" distR="0" wp14:anchorId="43559F42" wp14:editId="46CB841D">
                  <wp:extent cx="2638425" cy="2051685"/>
                  <wp:effectExtent l="0" t="0" r="0" b="571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pic:cNvPicPr>
                            <a:picLocks noChangeAspect="1"/>
                          </pic:cNvPicPr>
                        </pic:nvPicPr>
                        <pic:blipFill>
                          <a:blip r:embed="rId19"/>
                          <a:stretch>
                            <a:fillRect/>
                          </a:stretch>
                        </pic:blipFill>
                        <pic:spPr>
                          <a:xfrm>
                            <a:off x="0" y="0"/>
                            <a:ext cx="2638800" cy="2052000"/>
                          </a:xfrm>
                          <a:prstGeom prst="rect">
                            <a:avLst/>
                          </a:prstGeom>
                        </pic:spPr>
                      </pic:pic>
                    </a:graphicData>
                  </a:graphic>
                </wp:inline>
              </w:drawing>
            </w:r>
          </w:p>
          <w:p w14:paraId="5F01461D" w14:textId="49EA1C32" w:rsidR="00D93872" w:rsidRDefault="00504F29">
            <w:pPr>
              <w:pStyle w:val="Default"/>
              <w:jc w:val="center"/>
              <w:rPr>
                <w:rFonts w:ascii="Arial" w:hAnsi="Arial"/>
                <w:color w:val="000000" w:themeColor="text1"/>
                <w:sz w:val="16"/>
                <w:szCs w:val="16"/>
              </w:rPr>
            </w:pPr>
            <w:r>
              <w:rPr>
                <w:rFonts w:ascii="Arial" w:hAnsi="Arial"/>
                <w:color w:val="000000" w:themeColor="text1"/>
                <w:sz w:val="16"/>
                <w:szCs w:val="16"/>
              </w:rPr>
              <w:t>(</w:t>
            </w:r>
            <w:r w:rsidR="00F41905">
              <w:rPr>
                <w:rFonts w:ascii="Arial" w:hAnsi="Arial"/>
                <w:color w:val="000000" w:themeColor="text1"/>
                <w:sz w:val="16"/>
                <w:szCs w:val="16"/>
              </w:rPr>
              <w:t>9</w:t>
            </w:r>
            <w:r>
              <w:rPr>
                <w:rFonts w:ascii="Arial" w:hAnsi="Arial"/>
                <w:color w:val="000000" w:themeColor="text1"/>
                <w:sz w:val="16"/>
                <w:szCs w:val="16"/>
              </w:rPr>
              <w:t>)</w:t>
            </w:r>
          </w:p>
        </w:tc>
      </w:tr>
      <w:tr w:rsidR="00D93872" w14:paraId="2BC080E7" w14:textId="77777777">
        <w:tc>
          <w:tcPr>
            <w:tcW w:w="9629" w:type="dxa"/>
            <w:gridSpan w:val="2"/>
            <w:tcBorders>
              <w:top w:val="nil"/>
              <w:left w:val="nil"/>
              <w:bottom w:val="nil"/>
              <w:right w:val="nil"/>
            </w:tcBorders>
          </w:tcPr>
          <w:p w14:paraId="43E10D1A" w14:textId="231A7A2C" w:rsidR="00D93872" w:rsidRDefault="00504F29">
            <w:pPr>
              <w:pStyle w:val="Default"/>
              <w:jc w:val="both"/>
              <w:rPr>
                <w:rFonts w:ascii="Arial" w:hAnsi="Arial"/>
                <w:color w:val="000000" w:themeColor="text1"/>
                <w:sz w:val="16"/>
                <w:szCs w:val="16"/>
              </w:rPr>
            </w:pPr>
            <w:r>
              <w:rPr>
                <w:rFonts w:ascii="Arial" w:hAnsi="Arial"/>
                <w:b/>
                <w:bCs/>
                <w:color w:val="000000" w:themeColor="text1"/>
                <w:sz w:val="16"/>
                <w:szCs w:val="16"/>
              </w:rPr>
              <w:t xml:space="preserve">Figuras </w:t>
            </w:r>
            <w:r w:rsidR="00F41905">
              <w:rPr>
                <w:rFonts w:ascii="Arial" w:hAnsi="Arial"/>
                <w:b/>
                <w:bCs/>
                <w:color w:val="000000" w:themeColor="text1"/>
                <w:sz w:val="16"/>
                <w:szCs w:val="16"/>
              </w:rPr>
              <w:t>8</w:t>
            </w:r>
            <w:r>
              <w:rPr>
                <w:rFonts w:ascii="Arial" w:hAnsi="Arial"/>
                <w:b/>
                <w:bCs/>
                <w:color w:val="000000" w:themeColor="text1"/>
                <w:sz w:val="16"/>
                <w:szCs w:val="16"/>
              </w:rPr>
              <w:t xml:space="preserve"> e </w:t>
            </w:r>
            <w:r w:rsidR="00F41905">
              <w:rPr>
                <w:rFonts w:ascii="Arial" w:hAnsi="Arial"/>
                <w:b/>
                <w:bCs/>
                <w:color w:val="000000" w:themeColor="text1"/>
                <w:sz w:val="16"/>
                <w:szCs w:val="16"/>
              </w:rPr>
              <w:t>9</w:t>
            </w:r>
            <w:r>
              <w:rPr>
                <w:rFonts w:ascii="Arial" w:hAnsi="Arial"/>
                <w:b/>
                <w:bCs/>
                <w:color w:val="000000" w:themeColor="text1"/>
                <w:sz w:val="16"/>
                <w:szCs w:val="16"/>
              </w:rPr>
              <w:t>:</w:t>
            </w:r>
            <w:r>
              <w:rPr>
                <w:rFonts w:ascii="Arial" w:hAnsi="Arial"/>
                <w:color w:val="000000" w:themeColor="text1"/>
                <w:sz w:val="16"/>
                <w:szCs w:val="16"/>
              </w:rPr>
              <w:t xml:space="preserve"> reservatórios escavados (aguadas) implantadas pela 2ª Superintendência Regional da Codevasf no município de Bom Jesus da Lapa-BA.</w:t>
            </w:r>
          </w:p>
        </w:tc>
      </w:tr>
    </w:tbl>
    <w:p w14:paraId="131DEB52" w14:textId="77777777" w:rsidR="00D93872" w:rsidRDefault="00D93872">
      <w:pPr>
        <w:pStyle w:val="Default"/>
        <w:jc w:val="both"/>
        <w:rPr>
          <w:rStyle w:val="nfaseSutil1"/>
          <w:rFonts w:ascii="Arial" w:hAnsi="Arial" w:cs="Arial"/>
          <w:i w:val="0"/>
          <w:iCs w:val="0"/>
        </w:rPr>
      </w:pPr>
    </w:p>
    <w:sectPr w:rsidR="00D93872">
      <w:headerReference w:type="default" r:id="rId20"/>
      <w:footerReference w:type="default" r:id="rId21"/>
      <w:footerReference w:type="first" r:id="rId22"/>
      <w:pgSz w:w="11906" w:h="16838"/>
      <w:pgMar w:top="1853" w:right="1133" w:bottom="1276" w:left="1134" w:header="56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FD3260" w14:textId="77777777" w:rsidR="00D93872" w:rsidRDefault="00504F29">
      <w:pPr>
        <w:spacing w:line="240" w:lineRule="auto"/>
      </w:pPr>
      <w:r>
        <w:separator/>
      </w:r>
    </w:p>
  </w:endnote>
  <w:endnote w:type="continuationSeparator" w:id="0">
    <w:p w14:paraId="3D93F63E" w14:textId="77777777" w:rsidR="00D93872" w:rsidRDefault="00504F2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5183612"/>
    </w:sdtPr>
    <w:sdtEndPr/>
    <w:sdtContent>
      <w:p w14:paraId="0F9D18DA" w14:textId="77777777" w:rsidR="00D93872" w:rsidRDefault="00504F29">
        <w:pPr>
          <w:pStyle w:val="Rodap"/>
          <w:jc w:val="right"/>
        </w:pPr>
        <w:r>
          <w:fldChar w:fldCharType="begin"/>
        </w:r>
        <w:r>
          <w:instrText xml:space="preserve"> PAGE   \* MERGEFORMAT </w:instrText>
        </w:r>
        <w:r>
          <w:fldChar w:fldCharType="separate"/>
        </w:r>
        <w:r>
          <w:t>2</w:t>
        </w:r>
        <w:r>
          <w:fldChar w:fldCharType="end"/>
        </w:r>
      </w:p>
    </w:sdtContent>
  </w:sdt>
  <w:p w14:paraId="18CF0DE9" w14:textId="77777777" w:rsidR="00D93872" w:rsidRDefault="00D93872">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1777678"/>
    </w:sdtPr>
    <w:sdtEndPr/>
    <w:sdtContent>
      <w:p w14:paraId="17C26903" w14:textId="77777777" w:rsidR="00D93872" w:rsidRDefault="00504F29">
        <w:pPr>
          <w:pStyle w:val="Rodap"/>
          <w:jc w:val="right"/>
        </w:pPr>
        <w:r>
          <w:fldChar w:fldCharType="begin"/>
        </w:r>
        <w:r>
          <w:instrText xml:space="preserve"> PAGE   \* MERGEFORMAT </w:instrText>
        </w:r>
        <w:r>
          <w:fldChar w:fldCharType="separate"/>
        </w:r>
        <w:r>
          <w:t>1</w:t>
        </w:r>
        <w:r>
          <w:fldChar w:fldCharType="end"/>
        </w:r>
      </w:p>
    </w:sdtContent>
  </w:sdt>
  <w:p w14:paraId="184361AC" w14:textId="77777777" w:rsidR="00D93872" w:rsidRDefault="00D9387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981DE9" w14:textId="77777777" w:rsidR="00D93872" w:rsidRDefault="00504F29">
      <w:pPr>
        <w:spacing w:after="0"/>
      </w:pPr>
      <w:r>
        <w:separator/>
      </w:r>
    </w:p>
  </w:footnote>
  <w:footnote w:type="continuationSeparator" w:id="0">
    <w:p w14:paraId="3E2AD09B" w14:textId="77777777" w:rsidR="00D93872" w:rsidRDefault="00504F2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ayout w:type="fixed"/>
      <w:tblLook w:val="04A0" w:firstRow="1" w:lastRow="0" w:firstColumn="1" w:lastColumn="0" w:noHBand="0" w:noVBand="1"/>
    </w:tblPr>
    <w:tblGrid>
      <w:gridCol w:w="2559"/>
      <w:gridCol w:w="7647"/>
    </w:tblGrid>
    <w:tr w:rsidR="00D93872" w14:paraId="499EF8C7" w14:textId="77777777">
      <w:trPr>
        <w:trHeight w:val="1705"/>
        <w:jc w:val="center"/>
      </w:trPr>
      <w:tc>
        <w:tcPr>
          <w:tcW w:w="2559" w:type="dxa"/>
          <w:vAlign w:val="center"/>
        </w:tcPr>
        <w:p w14:paraId="5AC0E189" w14:textId="77777777" w:rsidR="00D93872" w:rsidRDefault="00504F29">
          <w:pPr>
            <w:pStyle w:val="Cabealho"/>
            <w:rPr>
              <w:rFonts w:cs="Arial"/>
              <w:sz w:val="20"/>
            </w:rPr>
          </w:pPr>
          <w:r>
            <w:rPr>
              <w:rFonts w:cs="Arial"/>
              <w:noProof/>
              <w:sz w:val="20"/>
              <w:lang w:eastAsia="pt-BR"/>
            </w:rPr>
            <w:drawing>
              <wp:inline distT="0" distB="0" distL="0" distR="0" wp14:anchorId="43FA6940" wp14:editId="78A484ED">
                <wp:extent cx="1478280" cy="504825"/>
                <wp:effectExtent l="0" t="0" r="7620" b="9525"/>
                <wp:docPr id="8"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pic:cNvPicPr>
                          <a:picLocks noChangeAspect="1" noChangeArrowheads="1"/>
                        </pic:cNvPicPr>
                      </pic:nvPicPr>
                      <pic:blipFill>
                        <a:blip r:embed="rId1"/>
                        <a:srcRect/>
                        <a:stretch>
                          <a:fillRect/>
                        </a:stretch>
                      </pic:blipFill>
                      <pic:spPr>
                        <a:xfrm>
                          <a:off x="0" y="0"/>
                          <a:ext cx="1478280" cy="504825"/>
                        </a:xfrm>
                        <a:prstGeom prst="rect">
                          <a:avLst/>
                        </a:prstGeom>
                        <a:noFill/>
                        <a:ln w="9525">
                          <a:noFill/>
                          <a:miter lim="800000"/>
                          <a:headEnd/>
                          <a:tailEnd/>
                        </a:ln>
                      </pic:spPr>
                    </pic:pic>
                  </a:graphicData>
                </a:graphic>
              </wp:inline>
            </w:drawing>
          </w:r>
        </w:p>
      </w:tc>
      <w:tc>
        <w:tcPr>
          <w:tcW w:w="7647" w:type="dxa"/>
          <w:vAlign w:val="center"/>
        </w:tcPr>
        <w:p w14:paraId="3499201C" w14:textId="77777777" w:rsidR="00D93872" w:rsidRDefault="00504F29">
          <w:pPr>
            <w:pStyle w:val="Cabealho"/>
            <w:rPr>
              <w:rFonts w:cs="Arial"/>
              <w:b/>
              <w:sz w:val="28"/>
              <w:szCs w:val="28"/>
            </w:rPr>
          </w:pPr>
          <w:r>
            <w:rPr>
              <w:rFonts w:cs="Arial"/>
              <w:b/>
              <w:sz w:val="28"/>
              <w:szCs w:val="28"/>
            </w:rPr>
            <w:t>Ministério de Integração e Desenvolvimento Regional</w:t>
          </w:r>
        </w:p>
        <w:p w14:paraId="717195C1" w14:textId="77777777" w:rsidR="00D93872" w:rsidRDefault="00504F29">
          <w:pPr>
            <w:pStyle w:val="Cabealho"/>
            <w:rPr>
              <w:rFonts w:cs="Arial"/>
              <w:b/>
              <w:sz w:val="19"/>
              <w:szCs w:val="19"/>
            </w:rPr>
          </w:pPr>
          <w:r>
            <w:rPr>
              <w:rFonts w:cs="Arial"/>
              <w:b/>
              <w:sz w:val="19"/>
              <w:szCs w:val="19"/>
            </w:rPr>
            <w:t>Companhia de Desenvolvimento dos Vales do São Francisco e do Parnaíba</w:t>
          </w:r>
        </w:p>
        <w:p w14:paraId="2D8B072C" w14:textId="6659A2DC" w:rsidR="00D93872" w:rsidRDefault="00504F29">
          <w:pPr>
            <w:pStyle w:val="Cabealho"/>
            <w:rPr>
              <w:rFonts w:cs="Arial"/>
              <w:sz w:val="20"/>
            </w:rPr>
          </w:pPr>
          <w:r>
            <w:rPr>
              <w:rFonts w:cs="Arial"/>
              <w:b/>
              <w:sz w:val="20"/>
            </w:rPr>
            <w:t xml:space="preserve">2ª Superintendência Regional – Gerência </w:t>
          </w:r>
          <w:r w:rsidR="009930BB">
            <w:rPr>
              <w:rFonts w:cs="Arial"/>
              <w:b/>
              <w:sz w:val="20"/>
            </w:rPr>
            <w:t xml:space="preserve">Regional </w:t>
          </w:r>
          <w:r>
            <w:rPr>
              <w:rFonts w:cs="Arial"/>
              <w:b/>
              <w:sz w:val="20"/>
            </w:rPr>
            <w:t xml:space="preserve">de Infraestrutura </w:t>
          </w:r>
          <w:r w:rsidR="009930BB">
            <w:rPr>
              <w:rFonts w:cs="Arial"/>
              <w:b/>
              <w:sz w:val="20"/>
            </w:rPr>
            <w:t>–</w:t>
          </w:r>
          <w:r>
            <w:rPr>
              <w:rFonts w:cs="Arial"/>
              <w:b/>
              <w:sz w:val="20"/>
            </w:rPr>
            <w:t xml:space="preserve"> </w:t>
          </w:r>
          <w:r w:rsidR="009930BB">
            <w:rPr>
              <w:rFonts w:cs="Arial"/>
              <w:b/>
              <w:sz w:val="20"/>
            </w:rPr>
            <w:t>2ª/</w:t>
          </w:r>
          <w:r>
            <w:rPr>
              <w:rFonts w:cs="Arial"/>
              <w:b/>
              <w:sz w:val="20"/>
            </w:rPr>
            <w:t>GRD</w:t>
          </w:r>
        </w:p>
      </w:tc>
    </w:tr>
  </w:tbl>
  <w:p w14:paraId="72BAC34E" w14:textId="77777777" w:rsidR="00D93872" w:rsidRDefault="00D93872">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826B8F"/>
    <w:multiLevelType w:val="multilevel"/>
    <w:tmpl w:val="0D826B8F"/>
    <w:lvl w:ilvl="0">
      <w:start w:val="1"/>
      <w:numFmt w:val="bullet"/>
      <w:lvlText w:val=""/>
      <w:lvlJc w:val="left"/>
      <w:pPr>
        <w:ind w:left="1428" w:hanging="360"/>
      </w:pPr>
      <w:rPr>
        <w:rFonts w:ascii="Symbol" w:hAnsi="Symbol" w:hint="default"/>
      </w:rPr>
    </w:lvl>
    <w:lvl w:ilvl="1">
      <w:start w:val="1"/>
      <w:numFmt w:val="bullet"/>
      <w:lvlText w:val="o"/>
      <w:lvlJc w:val="left"/>
      <w:pPr>
        <w:ind w:left="2148" w:hanging="360"/>
      </w:pPr>
      <w:rPr>
        <w:rFonts w:ascii="Courier New" w:hAnsi="Courier New" w:cs="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cs="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cs="Courier New" w:hint="default"/>
      </w:rPr>
    </w:lvl>
    <w:lvl w:ilvl="8">
      <w:start w:val="1"/>
      <w:numFmt w:val="bullet"/>
      <w:lvlText w:val=""/>
      <w:lvlJc w:val="left"/>
      <w:pPr>
        <w:ind w:left="7188" w:hanging="360"/>
      </w:pPr>
      <w:rPr>
        <w:rFonts w:ascii="Wingdings" w:hAnsi="Wingdings" w:hint="default"/>
      </w:rPr>
    </w:lvl>
  </w:abstractNum>
  <w:abstractNum w:abstractNumId="1" w15:restartNumberingAfterBreak="0">
    <w:nsid w:val="1E7059F2"/>
    <w:multiLevelType w:val="multilevel"/>
    <w:tmpl w:val="1E7059F2"/>
    <w:lvl w:ilvl="0">
      <w:start w:val="2"/>
      <w:numFmt w:val="decimal"/>
      <w:pStyle w:val="Sumrio2"/>
      <w:lvlText w:val="%1.1"/>
      <w:lvlJc w:val="left"/>
      <w:pPr>
        <w:ind w:left="1212" w:hanging="360"/>
      </w:pPr>
      <w:rPr>
        <w:rFonts w:hint="default"/>
      </w:rPr>
    </w:lvl>
    <w:lvl w:ilvl="1">
      <w:start w:val="1"/>
      <w:numFmt w:val="lowerLetter"/>
      <w:lvlText w:val="%2."/>
      <w:lvlJc w:val="left"/>
      <w:pPr>
        <w:ind w:left="1932" w:hanging="360"/>
      </w:pPr>
    </w:lvl>
    <w:lvl w:ilvl="2">
      <w:start w:val="1"/>
      <w:numFmt w:val="lowerRoman"/>
      <w:lvlText w:val="%3."/>
      <w:lvlJc w:val="right"/>
      <w:pPr>
        <w:ind w:left="2652" w:hanging="180"/>
      </w:pPr>
    </w:lvl>
    <w:lvl w:ilvl="3">
      <w:start w:val="1"/>
      <w:numFmt w:val="decimal"/>
      <w:lvlText w:val="%4."/>
      <w:lvlJc w:val="left"/>
      <w:pPr>
        <w:ind w:left="3372" w:hanging="360"/>
      </w:pPr>
    </w:lvl>
    <w:lvl w:ilvl="4">
      <w:start w:val="1"/>
      <w:numFmt w:val="lowerLetter"/>
      <w:lvlText w:val="%5."/>
      <w:lvlJc w:val="left"/>
      <w:pPr>
        <w:ind w:left="4092" w:hanging="360"/>
      </w:pPr>
    </w:lvl>
    <w:lvl w:ilvl="5">
      <w:start w:val="1"/>
      <w:numFmt w:val="lowerRoman"/>
      <w:lvlText w:val="%6."/>
      <w:lvlJc w:val="right"/>
      <w:pPr>
        <w:ind w:left="4812" w:hanging="180"/>
      </w:pPr>
    </w:lvl>
    <w:lvl w:ilvl="6">
      <w:start w:val="1"/>
      <w:numFmt w:val="decimal"/>
      <w:lvlText w:val="%7."/>
      <w:lvlJc w:val="left"/>
      <w:pPr>
        <w:ind w:left="5532" w:hanging="360"/>
      </w:pPr>
    </w:lvl>
    <w:lvl w:ilvl="7">
      <w:start w:val="1"/>
      <w:numFmt w:val="lowerLetter"/>
      <w:lvlText w:val="%8."/>
      <w:lvlJc w:val="left"/>
      <w:pPr>
        <w:ind w:left="6252" w:hanging="360"/>
      </w:pPr>
    </w:lvl>
    <w:lvl w:ilvl="8">
      <w:start w:val="1"/>
      <w:numFmt w:val="lowerRoman"/>
      <w:lvlText w:val="%9."/>
      <w:lvlJc w:val="right"/>
      <w:pPr>
        <w:ind w:left="6972" w:hanging="180"/>
      </w:pPr>
    </w:lvl>
  </w:abstractNum>
  <w:abstractNum w:abstractNumId="2" w15:restartNumberingAfterBreak="0">
    <w:nsid w:val="221A69D5"/>
    <w:multiLevelType w:val="multilevel"/>
    <w:tmpl w:val="221A69D5"/>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b w:val="0"/>
        <w:i w:val="0"/>
        <w:color w:val="auto"/>
        <w:sz w:val="20"/>
        <w:szCs w:val="20"/>
      </w:rPr>
    </w:lvl>
    <w:lvl w:ilvl="2">
      <w:start w:val="1"/>
      <w:numFmt w:val="decimal"/>
      <w:pStyle w:val="Ttulo3"/>
      <w:lvlText w:val="%1.%2.%3."/>
      <w:lvlJc w:val="left"/>
      <w:pPr>
        <w:ind w:left="9719" w:hanging="504"/>
      </w:pPr>
      <w:rPr>
        <w:rFonts w:hint="default"/>
        <w:color w:val="000000"/>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29462828"/>
    <w:multiLevelType w:val="multilevel"/>
    <w:tmpl w:val="29462828"/>
    <w:lvl w:ilvl="0">
      <w:start w:val="2"/>
      <w:numFmt w:val="decimal"/>
      <w:pStyle w:val="Sumrio3"/>
      <w:lvlText w:val="%1.1"/>
      <w:lvlJc w:val="left"/>
      <w:pPr>
        <w:ind w:left="1886" w:hanging="360"/>
      </w:pPr>
      <w:rPr>
        <w:rFonts w:hint="default"/>
      </w:rPr>
    </w:lvl>
    <w:lvl w:ilvl="1">
      <w:start w:val="1"/>
      <w:numFmt w:val="lowerLetter"/>
      <w:lvlText w:val="%2."/>
      <w:lvlJc w:val="left"/>
      <w:pPr>
        <w:ind w:left="2606" w:hanging="360"/>
      </w:pPr>
    </w:lvl>
    <w:lvl w:ilvl="2">
      <w:start w:val="1"/>
      <w:numFmt w:val="lowerRoman"/>
      <w:lvlText w:val="%3."/>
      <w:lvlJc w:val="right"/>
      <w:pPr>
        <w:ind w:left="3326" w:hanging="180"/>
      </w:pPr>
    </w:lvl>
    <w:lvl w:ilvl="3">
      <w:start w:val="1"/>
      <w:numFmt w:val="decimal"/>
      <w:lvlText w:val="%4."/>
      <w:lvlJc w:val="left"/>
      <w:pPr>
        <w:ind w:left="4046" w:hanging="360"/>
      </w:pPr>
    </w:lvl>
    <w:lvl w:ilvl="4">
      <w:start w:val="1"/>
      <w:numFmt w:val="lowerLetter"/>
      <w:lvlText w:val="%5."/>
      <w:lvlJc w:val="left"/>
      <w:pPr>
        <w:ind w:left="4766" w:hanging="360"/>
      </w:pPr>
    </w:lvl>
    <w:lvl w:ilvl="5">
      <w:start w:val="1"/>
      <w:numFmt w:val="lowerRoman"/>
      <w:lvlText w:val="%6."/>
      <w:lvlJc w:val="right"/>
      <w:pPr>
        <w:ind w:left="5486" w:hanging="180"/>
      </w:pPr>
    </w:lvl>
    <w:lvl w:ilvl="6">
      <w:start w:val="1"/>
      <w:numFmt w:val="decimal"/>
      <w:lvlText w:val="%7."/>
      <w:lvlJc w:val="left"/>
      <w:pPr>
        <w:ind w:left="6206" w:hanging="360"/>
      </w:pPr>
    </w:lvl>
    <w:lvl w:ilvl="7">
      <w:start w:val="1"/>
      <w:numFmt w:val="lowerLetter"/>
      <w:lvlText w:val="%8."/>
      <w:lvlJc w:val="left"/>
      <w:pPr>
        <w:ind w:left="6926" w:hanging="360"/>
      </w:pPr>
    </w:lvl>
    <w:lvl w:ilvl="8">
      <w:start w:val="1"/>
      <w:numFmt w:val="lowerRoman"/>
      <w:lvlText w:val="%9."/>
      <w:lvlJc w:val="right"/>
      <w:pPr>
        <w:ind w:left="7646" w:hanging="180"/>
      </w:pPr>
    </w:lvl>
  </w:abstractNum>
  <w:abstractNum w:abstractNumId="4" w15:restartNumberingAfterBreak="0">
    <w:nsid w:val="30696748"/>
    <w:multiLevelType w:val="multilevel"/>
    <w:tmpl w:val="306967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21C2144"/>
    <w:multiLevelType w:val="multilevel"/>
    <w:tmpl w:val="321C2144"/>
    <w:lvl w:ilvl="0">
      <w:start w:val="1"/>
      <w:numFmt w:val="decimal"/>
      <w:lvlText w:val="%1."/>
      <w:lvlJc w:val="left"/>
      <w:pPr>
        <w:ind w:left="360" w:hanging="360"/>
      </w:pPr>
      <w:rPr>
        <w:rFonts w:hint="default"/>
      </w:rPr>
    </w:lvl>
    <w:lvl w:ilvl="1">
      <w:start w:val="1"/>
      <w:numFmt w:val="lowerLetter"/>
      <w:lvlText w:val="%2)"/>
      <w:lvlJc w:val="left"/>
      <w:pPr>
        <w:ind w:left="716" w:hanging="432"/>
      </w:pPr>
      <w:rPr>
        <w:rFonts w:hint="default"/>
        <w:b w:val="0"/>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7864B01"/>
    <w:multiLevelType w:val="multilevel"/>
    <w:tmpl w:val="37864B01"/>
    <w:lvl w:ilvl="0">
      <w:start w:val="1"/>
      <w:numFmt w:val="decimal"/>
      <w:pStyle w:val="Ttulo"/>
      <w:lvlText w:val="%1."/>
      <w:lvlJc w:val="left"/>
      <w:pPr>
        <w:ind w:left="928" w:hanging="360"/>
      </w:pPr>
      <w:rPr>
        <w:rFonts w:hint="default"/>
        <w:b/>
        <w:u w:val="none"/>
      </w:rPr>
    </w:lvl>
    <w:lvl w:ilvl="1">
      <w:start w:val="1"/>
      <w:numFmt w:val="decimal"/>
      <w:lvlText w:val="%1.%2."/>
      <w:lvlJc w:val="left"/>
      <w:pPr>
        <w:ind w:left="1566" w:hanging="432"/>
      </w:pPr>
      <w:rPr>
        <w:b w:val="0"/>
      </w:rPr>
    </w:lvl>
    <w:lvl w:ilvl="2">
      <w:start w:val="1"/>
      <w:numFmt w:val="decimal"/>
      <w:lvlText w:val="%1.%2.%3."/>
      <w:lvlJc w:val="left"/>
      <w:pPr>
        <w:ind w:left="1780" w:hanging="504"/>
      </w:pPr>
      <w:rPr>
        <w:b w:val="0"/>
        <w:i w:val="0"/>
        <w:color w:val="auto"/>
      </w:rPr>
    </w:lvl>
    <w:lvl w:ilvl="3">
      <w:start w:val="1"/>
      <w:numFmt w:val="decimal"/>
      <w:lvlText w:val="%1.%2.%3.%4."/>
      <w:lvlJc w:val="left"/>
      <w:pPr>
        <w:ind w:left="1728" w:hanging="648"/>
      </w:pPr>
      <w:rPr>
        <w:lang w:val="pt-BR"/>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4E07854"/>
    <w:multiLevelType w:val="multilevel"/>
    <w:tmpl w:val="44E07854"/>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483E32DA"/>
    <w:multiLevelType w:val="multilevel"/>
    <w:tmpl w:val="483E32DA"/>
    <w:lvl w:ilvl="0">
      <w:start w:val="1"/>
      <w:numFmt w:val="decimal"/>
      <w:pStyle w:val="Sumrio1"/>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A1C5266"/>
    <w:multiLevelType w:val="multilevel"/>
    <w:tmpl w:val="4A1C526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B7E3B5B"/>
    <w:multiLevelType w:val="multilevel"/>
    <w:tmpl w:val="5B7E3B5B"/>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1"/>
  </w:num>
  <w:num w:numId="3">
    <w:abstractNumId w:val="6"/>
  </w:num>
  <w:num w:numId="4">
    <w:abstractNumId w:val="3"/>
  </w:num>
  <w:num w:numId="5">
    <w:abstractNumId w:val="8"/>
  </w:num>
  <w:num w:numId="6">
    <w:abstractNumId w:val="7"/>
  </w:num>
  <w:num w:numId="7">
    <w:abstractNumId w:val="4"/>
  </w:num>
  <w:num w:numId="8">
    <w:abstractNumId w:val="10"/>
  </w:num>
  <w:num w:numId="9">
    <w:abstractNumId w:val="0"/>
  </w:num>
  <w:num w:numId="10">
    <w:abstractNumId w:val="9"/>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10"/>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32E7"/>
    <w:rsid w:val="000054DB"/>
    <w:rsid w:val="00011E47"/>
    <w:rsid w:val="00022DFA"/>
    <w:rsid w:val="00026545"/>
    <w:rsid w:val="00031E8C"/>
    <w:rsid w:val="00032F3C"/>
    <w:rsid w:val="00034004"/>
    <w:rsid w:val="00041CA0"/>
    <w:rsid w:val="00042FC5"/>
    <w:rsid w:val="00047194"/>
    <w:rsid w:val="00047C2C"/>
    <w:rsid w:val="000527A7"/>
    <w:rsid w:val="0005498C"/>
    <w:rsid w:val="00060B54"/>
    <w:rsid w:val="000654F0"/>
    <w:rsid w:val="00077A41"/>
    <w:rsid w:val="00081B4B"/>
    <w:rsid w:val="0008425B"/>
    <w:rsid w:val="00084559"/>
    <w:rsid w:val="00092688"/>
    <w:rsid w:val="00095AEB"/>
    <w:rsid w:val="000A4657"/>
    <w:rsid w:val="000A7C9F"/>
    <w:rsid w:val="000B22C6"/>
    <w:rsid w:val="000D1E35"/>
    <w:rsid w:val="000D638A"/>
    <w:rsid w:val="000E3746"/>
    <w:rsid w:val="000E5E79"/>
    <w:rsid w:val="000F1AD1"/>
    <w:rsid w:val="000F1F9A"/>
    <w:rsid w:val="000F4F7A"/>
    <w:rsid w:val="00102047"/>
    <w:rsid w:val="00102859"/>
    <w:rsid w:val="00114EF1"/>
    <w:rsid w:val="00116833"/>
    <w:rsid w:val="00123055"/>
    <w:rsid w:val="001239CA"/>
    <w:rsid w:val="00125229"/>
    <w:rsid w:val="00127797"/>
    <w:rsid w:val="00131628"/>
    <w:rsid w:val="00132424"/>
    <w:rsid w:val="001402B3"/>
    <w:rsid w:val="00143200"/>
    <w:rsid w:val="0014708C"/>
    <w:rsid w:val="00165E03"/>
    <w:rsid w:val="00171B50"/>
    <w:rsid w:val="00172A27"/>
    <w:rsid w:val="001753B5"/>
    <w:rsid w:val="00176B18"/>
    <w:rsid w:val="00182225"/>
    <w:rsid w:val="0018745E"/>
    <w:rsid w:val="00190471"/>
    <w:rsid w:val="00195E1B"/>
    <w:rsid w:val="001B0665"/>
    <w:rsid w:val="001B0736"/>
    <w:rsid w:val="001C53E1"/>
    <w:rsid w:val="001D741B"/>
    <w:rsid w:val="001E61E2"/>
    <w:rsid w:val="001F0196"/>
    <w:rsid w:val="001F12FC"/>
    <w:rsid w:val="001F16E6"/>
    <w:rsid w:val="001F16F5"/>
    <w:rsid w:val="001F427C"/>
    <w:rsid w:val="002000D4"/>
    <w:rsid w:val="00200D8D"/>
    <w:rsid w:val="00203157"/>
    <w:rsid w:val="00205171"/>
    <w:rsid w:val="00206BD0"/>
    <w:rsid w:val="002073E7"/>
    <w:rsid w:val="00207439"/>
    <w:rsid w:val="00207A65"/>
    <w:rsid w:val="00215B4E"/>
    <w:rsid w:val="0021647C"/>
    <w:rsid w:val="00217718"/>
    <w:rsid w:val="002241CE"/>
    <w:rsid w:val="00224CF3"/>
    <w:rsid w:val="0022789F"/>
    <w:rsid w:val="0023375A"/>
    <w:rsid w:val="0023661E"/>
    <w:rsid w:val="0024251F"/>
    <w:rsid w:val="00242E6B"/>
    <w:rsid w:val="0024444E"/>
    <w:rsid w:val="00255E6F"/>
    <w:rsid w:val="002626CA"/>
    <w:rsid w:val="00263C4C"/>
    <w:rsid w:val="00272CBB"/>
    <w:rsid w:val="00276224"/>
    <w:rsid w:val="002806C3"/>
    <w:rsid w:val="0028128E"/>
    <w:rsid w:val="00282A0F"/>
    <w:rsid w:val="0028343A"/>
    <w:rsid w:val="002910C4"/>
    <w:rsid w:val="00292F20"/>
    <w:rsid w:val="00296571"/>
    <w:rsid w:val="002A0DD3"/>
    <w:rsid w:val="002B08CD"/>
    <w:rsid w:val="002B69B6"/>
    <w:rsid w:val="002B6DFD"/>
    <w:rsid w:val="002B7210"/>
    <w:rsid w:val="002B74A8"/>
    <w:rsid w:val="002C48F1"/>
    <w:rsid w:val="002C5044"/>
    <w:rsid w:val="002C506B"/>
    <w:rsid w:val="002D09EC"/>
    <w:rsid w:val="002D3CD8"/>
    <w:rsid w:val="002D3DB6"/>
    <w:rsid w:val="002D617D"/>
    <w:rsid w:val="002D6622"/>
    <w:rsid w:val="002D66F9"/>
    <w:rsid w:val="002D67B4"/>
    <w:rsid w:val="002D7106"/>
    <w:rsid w:val="002E44A0"/>
    <w:rsid w:val="002E7DA1"/>
    <w:rsid w:val="002F1992"/>
    <w:rsid w:val="002F292A"/>
    <w:rsid w:val="002F2DA6"/>
    <w:rsid w:val="002F4C59"/>
    <w:rsid w:val="002F69A2"/>
    <w:rsid w:val="002F72E9"/>
    <w:rsid w:val="00300784"/>
    <w:rsid w:val="0030459E"/>
    <w:rsid w:val="00310891"/>
    <w:rsid w:val="00310D9B"/>
    <w:rsid w:val="00311405"/>
    <w:rsid w:val="00311D11"/>
    <w:rsid w:val="003120C7"/>
    <w:rsid w:val="00315BBD"/>
    <w:rsid w:val="0032257D"/>
    <w:rsid w:val="00323311"/>
    <w:rsid w:val="00330C58"/>
    <w:rsid w:val="00333AE3"/>
    <w:rsid w:val="00334242"/>
    <w:rsid w:val="00355DD9"/>
    <w:rsid w:val="00363EA9"/>
    <w:rsid w:val="00363EB6"/>
    <w:rsid w:val="003650EF"/>
    <w:rsid w:val="00366460"/>
    <w:rsid w:val="003702B5"/>
    <w:rsid w:val="003704C1"/>
    <w:rsid w:val="003728DA"/>
    <w:rsid w:val="00375C1B"/>
    <w:rsid w:val="00381638"/>
    <w:rsid w:val="0038235D"/>
    <w:rsid w:val="00382F99"/>
    <w:rsid w:val="00385A5E"/>
    <w:rsid w:val="00397E14"/>
    <w:rsid w:val="003A1935"/>
    <w:rsid w:val="003A7C7E"/>
    <w:rsid w:val="003A7D61"/>
    <w:rsid w:val="003D0204"/>
    <w:rsid w:val="003D4B1A"/>
    <w:rsid w:val="003D4BD8"/>
    <w:rsid w:val="003D6D2E"/>
    <w:rsid w:val="003E157C"/>
    <w:rsid w:val="003E1BB3"/>
    <w:rsid w:val="003E76CD"/>
    <w:rsid w:val="003F1CCA"/>
    <w:rsid w:val="003F46E8"/>
    <w:rsid w:val="00400213"/>
    <w:rsid w:val="0040045B"/>
    <w:rsid w:val="00402044"/>
    <w:rsid w:val="00402364"/>
    <w:rsid w:val="004168FC"/>
    <w:rsid w:val="00423021"/>
    <w:rsid w:val="00423466"/>
    <w:rsid w:val="00423FF8"/>
    <w:rsid w:val="0043084B"/>
    <w:rsid w:val="004446FE"/>
    <w:rsid w:val="00445544"/>
    <w:rsid w:val="00446831"/>
    <w:rsid w:val="00455805"/>
    <w:rsid w:val="00456833"/>
    <w:rsid w:val="004600EA"/>
    <w:rsid w:val="00463C99"/>
    <w:rsid w:val="00464F06"/>
    <w:rsid w:val="00466EA4"/>
    <w:rsid w:val="0046791C"/>
    <w:rsid w:val="00472849"/>
    <w:rsid w:val="00472D86"/>
    <w:rsid w:val="00477050"/>
    <w:rsid w:val="004804EA"/>
    <w:rsid w:val="004827DD"/>
    <w:rsid w:val="004852F6"/>
    <w:rsid w:val="00486E1C"/>
    <w:rsid w:val="0049040A"/>
    <w:rsid w:val="004908A0"/>
    <w:rsid w:val="004B5C61"/>
    <w:rsid w:val="004C13BE"/>
    <w:rsid w:val="004C4E25"/>
    <w:rsid w:val="004C73B5"/>
    <w:rsid w:val="004D2048"/>
    <w:rsid w:val="004D331C"/>
    <w:rsid w:val="004D6B44"/>
    <w:rsid w:val="004D7D36"/>
    <w:rsid w:val="004E020D"/>
    <w:rsid w:val="004E56F8"/>
    <w:rsid w:val="004E612B"/>
    <w:rsid w:val="004F20B4"/>
    <w:rsid w:val="004F27DE"/>
    <w:rsid w:val="004F2F11"/>
    <w:rsid w:val="0050243A"/>
    <w:rsid w:val="00504582"/>
    <w:rsid w:val="00504F29"/>
    <w:rsid w:val="005071A6"/>
    <w:rsid w:val="00513152"/>
    <w:rsid w:val="005158F7"/>
    <w:rsid w:val="0052143B"/>
    <w:rsid w:val="005253BB"/>
    <w:rsid w:val="00525AA1"/>
    <w:rsid w:val="0052726A"/>
    <w:rsid w:val="005311AC"/>
    <w:rsid w:val="00534726"/>
    <w:rsid w:val="0054003A"/>
    <w:rsid w:val="0054171C"/>
    <w:rsid w:val="00545301"/>
    <w:rsid w:val="0054768A"/>
    <w:rsid w:val="005523F0"/>
    <w:rsid w:val="00557970"/>
    <w:rsid w:val="00565A74"/>
    <w:rsid w:val="00565C45"/>
    <w:rsid w:val="00566789"/>
    <w:rsid w:val="00566EFC"/>
    <w:rsid w:val="00567807"/>
    <w:rsid w:val="00567E61"/>
    <w:rsid w:val="00575EE2"/>
    <w:rsid w:val="005803B0"/>
    <w:rsid w:val="00585547"/>
    <w:rsid w:val="00596FF4"/>
    <w:rsid w:val="005A23AC"/>
    <w:rsid w:val="005A4E90"/>
    <w:rsid w:val="005A5D01"/>
    <w:rsid w:val="005A661D"/>
    <w:rsid w:val="005B1C2F"/>
    <w:rsid w:val="005B4596"/>
    <w:rsid w:val="005B4D48"/>
    <w:rsid w:val="005C03F1"/>
    <w:rsid w:val="005C10E0"/>
    <w:rsid w:val="005C1D09"/>
    <w:rsid w:val="005C24BB"/>
    <w:rsid w:val="005C30D1"/>
    <w:rsid w:val="005C33FA"/>
    <w:rsid w:val="005D2273"/>
    <w:rsid w:val="005E3002"/>
    <w:rsid w:val="005F0A98"/>
    <w:rsid w:val="005F6B28"/>
    <w:rsid w:val="0060377C"/>
    <w:rsid w:val="00610257"/>
    <w:rsid w:val="00610B72"/>
    <w:rsid w:val="0062197B"/>
    <w:rsid w:val="00625D64"/>
    <w:rsid w:val="00630883"/>
    <w:rsid w:val="0063383A"/>
    <w:rsid w:val="00634A5E"/>
    <w:rsid w:val="0063543D"/>
    <w:rsid w:val="00636A54"/>
    <w:rsid w:val="006415D8"/>
    <w:rsid w:val="00645B77"/>
    <w:rsid w:val="00651BA6"/>
    <w:rsid w:val="0066119B"/>
    <w:rsid w:val="00661A62"/>
    <w:rsid w:val="0066249E"/>
    <w:rsid w:val="00662568"/>
    <w:rsid w:val="00662652"/>
    <w:rsid w:val="00662A20"/>
    <w:rsid w:val="00662E29"/>
    <w:rsid w:val="00664666"/>
    <w:rsid w:val="006658BA"/>
    <w:rsid w:val="0067527C"/>
    <w:rsid w:val="00677F77"/>
    <w:rsid w:val="006868EE"/>
    <w:rsid w:val="00694EE0"/>
    <w:rsid w:val="0069698B"/>
    <w:rsid w:val="006A2E9F"/>
    <w:rsid w:val="006A57DA"/>
    <w:rsid w:val="006B2BF4"/>
    <w:rsid w:val="006B5448"/>
    <w:rsid w:val="006C1FA3"/>
    <w:rsid w:val="006C3B4C"/>
    <w:rsid w:val="006C5CC5"/>
    <w:rsid w:val="006C6767"/>
    <w:rsid w:val="006D1645"/>
    <w:rsid w:val="006D1DB1"/>
    <w:rsid w:val="006E01E0"/>
    <w:rsid w:val="006E1AD0"/>
    <w:rsid w:val="006E3DDB"/>
    <w:rsid w:val="006E6C32"/>
    <w:rsid w:val="006F2C32"/>
    <w:rsid w:val="006F2F42"/>
    <w:rsid w:val="006F523E"/>
    <w:rsid w:val="00700C64"/>
    <w:rsid w:val="007022E4"/>
    <w:rsid w:val="0070764F"/>
    <w:rsid w:val="00712718"/>
    <w:rsid w:val="00713E16"/>
    <w:rsid w:val="0072152C"/>
    <w:rsid w:val="00722101"/>
    <w:rsid w:val="00722DDC"/>
    <w:rsid w:val="00723CCC"/>
    <w:rsid w:val="00734829"/>
    <w:rsid w:val="007377CB"/>
    <w:rsid w:val="00741F4B"/>
    <w:rsid w:val="00756212"/>
    <w:rsid w:val="00760747"/>
    <w:rsid w:val="0076225D"/>
    <w:rsid w:val="007733CC"/>
    <w:rsid w:val="00780A3E"/>
    <w:rsid w:val="00795DA7"/>
    <w:rsid w:val="00797986"/>
    <w:rsid w:val="00797DDE"/>
    <w:rsid w:val="007A3B77"/>
    <w:rsid w:val="007A402D"/>
    <w:rsid w:val="007A4C27"/>
    <w:rsid w:val="007A6E8B"/>
    <w:rsid w:val="007B32BA"/>
    <w:rsid w:val="007B35FE"/>
    <w:rsid w:val="007D30FF"/>
    <w:rsid w:val="007D3131"/>
    <w:rsid w:val="007D3EC9"/>
    <w:rsid w:val="007D5C6A"/>
    <w:rsid w:val="007D6396"/>
    <w:rsid w:val="007D6DB1"/>
    <w:rsid w:val="007E6C67"/>
    <w:rsid w:val="007F0F46"/>
    <w:rsid w:val="007F19FA"/>
    <w:rsid w:val="007F1D7B"/>
    <w:rsid w:val="007F4914"/>
    <w:rsid w:val="007F508C"/>
    <w:rsid w:val="0080014C"/>
    <w:rsid w:val="00800250"/>
    <w:rsid w:val="00804C53"/>
    <w:rsid w:val="0082439A"/>
    <w:rsid w:val="00824B18"/>
    <w:rsid w:val="00824C03"/>
    <w:rsid w:val="008258C2"/>
    <w:rsid w:val="00827055"/>
    <w:rsid w:val="00827A33"/>
    <w:rsid w:val="0083322A"/>
    <w:rsid w:val="00835F6F"/>
    <w:rsid w:val="0083761D"/>
    <w:rsid w:val="00843644"/>
    <w:rsid w:val="00844607"/>
    <w:rsid w:val="00846546"/>
    <w:rsid w:val="00850B60"/>
    <w:rsid w:val="00851A12"/>
    <w:rsid w:val="00851B9B"/>
    <w:rsid w:val="008535FF"/>
    <w:rsid w:val="00853BC2"/>
    <w:rsid w:val="00862059"/>
    <w:rsid w:val="00862A3C"/>
    <w:rsid w:val="00863F85"/>
    <w:rsid w:val="00866937"/>
    <w:rsid w:val="008721E6"/>
    <w:rsid w:val="008774C5"/>
    <w:rsid w:val="00886152"/>
    <w:rsid w:val="0088705C"/>
    <w:rsid w:val="008951A4"/>
    <w:rsid w:val="00895403"/>
    <w:rsid w:val="008A0F1D"/>
    <w:rsid w:val="008A3351"/>
    <w:rsid w:val="008A4A1E"/>
    <w:rsid w:val="008B2CF9"/>
    <w:rsid w:val="008B7563"/>
    <w:rsid w:val="008C46C0"/>
    <w:rsid w:val="008D0D7E"/>
    <w:rsid w:val="008D1094"/>
    <w:rsid w:val="008D28A6"/>
    <w:rsid w:val="008F0AC8"/>
    <w:rsid w:val="008F5F8D"/>
    <w:rsid w:val="008F61D1"/>
    <w:rsid w:val="009005D4"/>
    <w:rsid w:val="00904043"/>
    <w:rsid w:val="0091507E"/>
    <w:rsid w:val="00917133"/>
    <w:rsid w:val="00921A42"/>
    <w:rsid w:val="00921E50"/>
    <w:rsid w:val="00926150"/>
    <w:rsid w:val="00926DEC"/>
    <w:rsid w:val="00933046"/>
    <w:rsid w:val="00934BEC"/>
    <w:rsid w:val="0094752A"/>
    <w:rsid w:val="00955FF5"/>
    <w:rsid w:val="00957804"/>
    <w:rsid w:val="0096601C"/>
    <w:rsid w:val="0096767E"/>
    <w:rsid w:val="00967C21"/>
    <w:rsid w:val="00973385"/>
    <w:rsid w:val="00974145"/>
    <w:rsid w:val="009748B5"/>
    <w:rsid w:val="00987DED"/>
    <w:rsid w:val="0099094C"/>
    <w:rsid w:val="009930BB"/>
    <w:rsid w:val="009C30E3"/>
    <w:rsid w:val="009D0FAE"/>
    <w:rsid w:val="009D3FAF"/>
    <w:rsid w:val="009D53D5"/>
    <w:rsid w:val="009D7085"/>
    <w:rsid w:val="009E1424"/>
    <w:rsid w:val="009E7BF8"/>
    <w:rsid w:val="009F05A4"/>
    <w:rsid w:val="009F1B99"/>
    <w:rsid w:val="009F3279"/>
    <w:rsid w:val="009F33DE"/>
    <w:rsid w:val="00A02493"/>
    <w:rsid w:val="00A02606"/>
    <w:rsid w:val="00A101C1"/>
    <w:rsid w:val="00A200E2"/>
    <w:rsid w:val="00A21851"/>
    <w:rsid w:val="00A266BD"/>
    <w:rsid w:val="00A330E1"/>
    <w:rsid w:val="00A429B2"/>
    <w:rsid w:val="00A4744C"/>
    <w:rsid w:val="00A532CD"/>
    <w:rsid w:val="00A5555E"/>
    <w:rsid w:val="00A61652"/>
    <w:rsid w:val="00A61D65"/>
    <w:rsid w:val="00A63B0D"/>
    <w:rsid w:val="00A70A8F"/>
    <w:rsid w:val="00A70FCB"/>
    <w:rsid w:val="00A76261"/>
    <w:rsid w:val="00A776D1"/>
    <w:rsid w:val="00A80FA9"/>
    <w:rsid w:val="00A82304"/>
    <w:rsid w:val="00A83ECD"/>
    <w:rsid w:val="00A87570"/>
    <w:rsid w:val="00A91EF4"/>
    <w:rsid w:val="00A963CC"/>
    <w:rsid w:val="00AA1AE7"/>
    <w:rsid w:val="00AA4EF0"/>
    <w:rsid w:val="00AA7884"/>
    <w:rsid w:val="00AA7B8A"/>
    <w:rsid w:val="00AC307A"/>
    <w:rsid w:val="00AC37B4"/>
    <w:rsid w:val="00AC6DB6"/>
    <w:rsid w:val="00AD19AC"/>
    <w:rsid w:val="00AD5FF1"/>
    <w:rsid w:val="00AD637C"/>
    <w:rsid w:val="00AD6887"/>
    <w:rsid w:val="00AD70EE"/>
    <w:rsid w:val="00AD73C0"/>
    <w:rsid w:val="00AE1C1F"/>
    <w:rsid w:val="00AE3861"/>
    <w:rsid w:val="00AE3BE9"/>
    <w:rsid w:val="00AE3C72"/>
    <w:rsid w:val="00AF03F2"/>
    <w:rsid w:val="00AF1084"/>
    <w:rsid w:val="00AF4278"/>
    <w:rsid w:val="00AF786E"/>
    <w:rsid w:val="00B01CB5"/>
    <w:rsid w:val="00B02673"/>
    <w:rsid w:val="00B0432C"/>
    <w:rsid w:val="00B04F35"/>
    <w:rsid w:val="00B104E4"/>
    <w:rsid w:val="00B1109D"/>
    <w:rsid w:val="00B12238"/>
    <w:rsid w:val="00B13086"/>
    <w:rsid w:val="00B2150B"/>
    <w:rsid w:val="00B21FEB"/>
    <w:rsid w:val="00B22333"/>
    <w:rsid w:val="00B248A5"/>
    <w:rsid w:val="00B26C50"/>
    <w:rsid w:val="00B27E3A"/>
    <w:rsid w:val="00B324E5"/>
    <w:rsid w:val="00B32BF1"/>
    <w:rsid w:val="00B41AC8"/>
    <w:rsid w:val="00B42B66"/>
    <w:rsid w:val="00B51405"/>
    <w:rsid w:val="00B6098D"/>
    <w:rsid w:val="00B6106A"/>
    <w:rsid w:val="00B73C4C"/>
    <w:rsid w:val="00B815FD"/>
    <w:rsid w:val="00B822FC"/>
    <w:rsid w:val="00B8456D"/>
    <w:rsid w:val="00B845BC"/>
    <w:rsid w:val="00B9070F"/>
    <w:rsid w:val="00B955A5"/>
    <w:rsid w:val="00BA363D"/>
    <w:rsid w:val="00BA7554"/>
    <w:rsid w:val="00BB5BB9"/>
    <w:rsid w:val="00BB69CD"/>
    <w:rsid w:val="00BB7071"/>
    <w:rsid w:val="00BC227A"/>
    <w:rsid w:val="00BC5349"/>
    <w:rsid w:val="00BC5690"/>
    <w:rsid w:val="00BD3950"/>
    <w:rsid w:val="00BE2196"/>
    <w:rsid w:val="00BE57A9"/>
    <w:rsid w:val="00BE7F8F"/>
    <w:rsid w:val="00BF09CD"/>
    <w:rsid w:val="00BF10B2"/>
    <w:rsid w:val="00BF1E98"/>
    <w:rsid w:val="00BF3434"/>
    <w:rsid w:val="00C02BD1"/>
    <w:rsid w:val="00C039B4"/>
    <w:rsid w:val="00C06577"/>
    <w:rsid w:val="00C165F5"/>
    <w:rsid w:val="00C20576"/>
    <w:rsid w:val="00C21498"/>
    <w:rsid w:val="00C22DF1"/>
    <w:rsid w:val="00C2317D"/>
    <w:rsid w:val="00C232F5"/>
    <w:rsid w:val="00C32926"/>
    <w:rsid w:val="00C32E98"/>
    <w:rsid w:val="00C3646D"/>
    <w:rsid w:val="00C3706B"/>
    <w:rsid w:val="00C45C5A"/>
    <w:rsid w:val="00C46134"/>
    <w:rsid w:val="00C53F2B"/>
    <w:rsid w:val="00C578CF"/>
    <w:rsid w:val="00C63499"/>
    <w:rsid w:val="00C6562C"/>
    <w:rsid w:val="00C673A8"/>
    <w:rsid w:val="00C70DC1"/>
    <w:rsid w:val="00C84D4E"/>
    <w:rsid w:val="00C87473"/>
    <w:rsid w:val="00C918A2"/>
    <w:rsid w:val="00C95B51"/>
    <w:rsid w:val="00CA2CAB"/>
    <w:rsid w:val="00CA3C3D"/>
    <w:rsid w:val="00CA5040"/>
    <w:rsid w:val="00CB0FE4"/>
    <w:rsid w:val="00CB16CC"/>
    <w:rsid w:val="00CB595D"/>
    <w:rsid w:val="00CB6702"/>
    <w:rsid w:val="00CD01FF"/>
    <w:rsid w:val="00CD417E"/>
    <w:rsid w:val="00CD62A2"/>
    <w:rsid w:val="00CE77B3"/>
    <w:rsid w:val="00CF1311"/>
    <w:rsid w:val="00CF237D"/>
    <w:rsid w:val="00CF2382"/>
    <w:rsid w:val="00D102A7"/>
    <w:rsid w:val="00D1534E"/>
    <w:rsid w:val="00D15BAA"/>
    <w:rsid w:val="00D21A76"/>
    <w:rsid w:val="00D22DA1"/>
    <w:rsid w:val="00D23D73"/>
    <w:rsid w:val="00D25AA1"/>
    <w:rsid w:val="00D32B2D"/>
    <w:rsid w:val="00D3305A"/>
    <w:rsid w:val="00D33F99"/>
    <w:rsid w:val="00D37063"/>
    <w:rsid w:val="00D460F9"/>
    <w:rsid w:val="00D51E08"/>
    <w:rsid w:val="00D53377"/>
    <w:rsid w:val="00D547A9"/>
    <w:rsid w:val="00D608A0"/>
    <w:rsid w:val="00D60FDE"/>
    <w:rsid w:val="00D63242"/>
    <w:rsid w:val="00D65479"/>
    <w:rsid w:val="00D65497"/>
    <w:rsid w:val="00D70FB4"/>
    <w:rsid w:val="00D74200"/>
    <w:rsid w:val="00D8245F"/>
    <w:rsid w:val="00D8604D"/>
    <w:rsid w:val="00D8679B"/>
    <w:rsid w:val="00D86B8F"/>
    <w:rsid w:val="00D87585"/>
    <w:rsid w:val="00D92285"/>
    <w:rsid w:val="00D93872"/>
    <w:rsid w:val="00D959F3"/>
    <w:rsid w:val="00D97958"/>
    <w:rsid w:val="00DA208A"/>
    <w:rsid w:val="00DB6DA1"/>
    <w:rsid w:val="00DC03D3"/>
    <w:rsid w:val="00DC0486"/>
    <w:rsid w:val="00DC55F5"/>
    <w:rsid w:val="00DC5A8C"/>
    <w:rsid w:val="00DC6665"/>
    <w:rsid w:val="00DE214E"/>
    <w:rsid w:val="00DE3C54"/>
    <w:rsid w:val="00E040F9"/>
    <w:rsid w:val="00E074EB"/>
    <w:rsid w:val="00E10F21"/>
    <w:rsid w:val="00E11370"/>
    <w:rsid w:val="00E115BF"/>
    <w:rsid w:val="00E2184D"/>
    <w:rsid w:val="00E219AA"/>
    <w:rsid w:val="00E27159"/>
    <w:rsid w:val="00E32E68"/>
    <w:rsid w:val="00E335A3"/>
    <w:rsid w:val="00E37908"/>
    <w:rsid w:val="00E509C6"/>
    <w:rsid w:val="00E50D6A"/>
    <w:rsid w:val="00E51B4E"/>
    <w:rsid w:val="00E55F7E"/>
    <w:rsid w:val="00E600E0"/>
    <w:rsid w:val="00E61912"/>
    <w:rsid w:val="00E6354E"/>
    <w:rsid w:val="00E635E3"/>
    <w:rsid w:val="00E67E8A"/>
    <w:rsid w:val="00E83054"/>
    <w:rsid w:val="00E86682"/>
    <w:rsid w:val="00E92064"/>
    <w:rsid w:val="00E93E47"/>
    <w:rsid w:val="00E9724D"/>
    <w:rsid w:val="00EA2DB7"/>
    <w:rsid w:val="00EA3D6C"/>
    <w:rsid w:val="00EA5D94"/>
    <w:rsid w:val="00EB3CF1"/>
    <w:rsid w:val="00EC1354"/>
    <w:rsid w:val="00EC39A4"/>
    <w:rsid w:val="00EC4BE7"/>
    <w:rsid w:val="00EC6A19"/>
    <w:rsid w:val="00ED03D7"/>
    <w:rsid w:val="00ED23C3"/>
    <w:rsid w:val="00ED5D8C"/>
    <w:rsid w:val="00EE5119"/>
    <w:rsid w:val="00EF086A"/>
    <w:rsid w:val="00EF274D"/>
    <w:rsid w:val="00EF4672"/>
    <w:rsid w:val="00EF6514"/>
    <w:rsid w:val="00F0638E"/>
    <w:rsid w:val="00F1039E"/>
    <w:rsid w:val="00F12065"/>
    <w:rsid w:val="00F259F5"/>
    <w:rsid w:val="00F272BE"/>
    <w:rsid w:val="00F27472"/>
    <w:rsid w:val="00F371F7"/>
    <w:rsid w:val="00F37ACE"/>
    <w:rsid w:val="00F41905"/>
    <w:rsid w:val="00F419FC"/>
    <w:rsid w:val="00F43056"/>
    <w:rsid w:val="00F46DF1"/>
    <w:rsid w:val="00F5578B"/>
    <w:rsid w:val="00F55CBD"/>
    <w:rsid w:val="00F5770E"/>
    <w:rsid w:val="00F60057"/>
    <w:rsid w:val="00F63CF7"/>
    <w:rsid w:val="00F677A3"/>
    <w:rsid w:val="00F80E0D"/>
    <w:rsid w:val="00F81015"/>
    <w:rsid w:val="00F8327D"/>
    <w:rsid w:val="00F841EE"/>
    <w:rsid w:val="00F921DA"/>
    <w:rsid w:val="00F94B6D"/>
    <w:rsid w:val="00FA17AC"/>
    <w:rsid w:val="00FB5192"/>
    <w:rsid w:val="00FC048C"/>
    <w:rsid w:val="00FC28C4"/>
    <w:rsid w:val="00FC6114"/>
    <w:rsid w:val="00FD3396"/>
    <w:rsid w:val="00FD512B"/>
    <w:rsid w:val="00FD716B"/>
    <w:rsid w:val="00FE05C9"/>
    <w:rsid w:val="00FE28AF"/>
    <w:rsid w:val="00FE4189"/>
    <w:rsid w:val="00FE4640"/>
    <w:rsid w:val="00FF18D7"/>
    <w:rsid w:val="00FF51BD"/>
    <w:rsid w:val="00FF594D"/>
    <w:rsid w:val="01600BFE"/>
    <w:rsid w:val="01AE10E8"/>
    <w:rsid w:val="022C1CA1"/>
    <w:rsid w:val="02852A6F"/>
    <w:rsid w:val="02E9798A"/>
    <w:rsid w:val="037E6AD2"/>
    <w:rsid w:val="04081017"/>
    <w:rsid w:val="044A2578"/>
    <w:rsid w:val="047F4544"/>
    <w:rsid w:val="0562266E"/>
    <w:rsid w:val="058221B3"/>
    <w:rsid w:val="05883079"/>
    <w:rsid w:val="05D26DA8"/>
    <w:rsid w:val="05F55E8F"/>
    <w:rsid w:val="0644009C"/>
    <w:rsid w:val="068C68F1"/>
    <w:rsid w:val="074505CE"/>
    <w:rsid w:val="079D1D08"/>
    <w:rsid w:val="08000695"/>
    <w:rsid w:val="08371E4A"/>
    <w:rsid w:val="083C654E"/>
    <w:rsid w:val="0868502F"/>
    <w:rsid w:val="08CB76EA"/>
    <w:rsid w:val="08CF5786"/>
    <w:rsid w:val="099730C7"/>
    <w:rsid w:val="09CA1E84"/>
    <w:rsid w:val="0A885A13"/>
    <w:rsid w:val="0B9B4555"/>
    <w:rsid w:val="0BA72CEE"/>
    <w:rsid w:val="0BE37D1C"/>
    <w:rsid w:val="0C0F236A"/>
    <w:rsid w:val="0C433A4E"/>
    <w:rsid w:val="0C6F5388"/>
    <w:rsid w:val="0CC52071"/>
    <w:rsid w:val="0CC9144C"/>
    <w:rsid w:val="0CD301B8"/>
    <w:rsid w:val="0CD549E3"/>
    <w:rsid w:val="0D447FF8"/>
    <w:rsid w:val="0DF645FB"/>
    <w:rsid w:val="0E602953"/>
    <w:rsid w:val="0E8F1CE2"/>
    <w:rsid w:val="0F5E3CD1"/>
    <w:rsid w:val="0F9A3236"/>
    <w:rsid w:val="0FF84C1A"/>
    <w:rsid w:val="103664DF"/>
    <w:rsid w:val="105F35C9"/>
    <w:rsid w:val="10691F25"/>
    <w:rsid w:val="10DC4B4B"/>
    <w:rsid w:val="10ED4953"/>
    <w:rsid w:val="115B1CF6"/>
    <w:rsid w:val="12751F54"/>
    <w:rsid w:val="127647B5"/>
    <w:rsid w:val="1294368F"/>
    <w:rsid w:val="13197738"/>
    <w:rsid w:val="138F2EDE"/>
    <w:rsid w:val="13C62266"/>
    <w:rsid w:val="14B234A7"/>
    <w:rsid w:val="14B411B4"/>
    <w:rsid w:val="14E611B3"/>
    <w:rsid w:val="15127C5A"/>
    <w:rsid w:val="153A0C48"/>
    <w:rsid w:val="15931968"/>
    <w:rsid w:val="15C46ECC"/>
    <w:rsid w:val="161363DA"/>
    <w:rsid w:val="16D32637"/>
    <w:rsid w:val="173C23D9"/>
    <w:rsid w:val="17CF7536"/>
    <w:rsid w:val="1857091C"/>
    <w:rsid w:val="1924013E"/>
    <w:rsid w:val="19464DE6"/>
    <w:rsid w:val="195B330B"/>
    <w:rsid w:val="198D3AC8"/>
    <w:rsid w:val="19B21213"/>
    <w:rsid w:val="1AC00861"/>
    <w:rsid w:val="1AF622AE"/>
    <w:rsid w:val="1AFD2ACC"/>
    <w:rsid w:val="1C4C7D29"/>
    <w:rsid w:val="1C9C7B4C"/>
    <w:rsid w:val="1CB31D1F"/>
    <w:rsid w:val="1DFE5B7E"/>
    <w:rsid w:val="1E4B75F3"/>
    <w:rsid w:val="1E4D204C"/>
    <w:rsid w:val="1EEC0047"/>
    <w:rsid w:val="1F5E3523"/>
    <w:rsid w:val="1F707389"/>
    <w:rsid w:val="1F774214"/>
    <w:rsid w:val="1FD357F3"/>
    <w:rsid w:val="206401CD"/>
    <w:rsid w:val="213F0766"/>
    <w:rsid w:val="21660BD5"/>
    <w:rsid w:val="21EA3813"/>
    <w:rsid w:val="21FB1FB5"/>
    <w:rsid w:val="221F0585"/>
    <w:rsid w:val="2226601E"/>
    <w:rsid w:val="22487D6B"/>
    <w:rsid w:val="226E54AF"/>
    <w:rsid w:val="229C2686"/>
    <w:rsid w:val="22B27D46"/>
    <w:rsid w:val="231734D0"/>
    <w:rsid w:val="23314B24"/>
    <w:rsid w:val="23474F72"/>
    <w:rsid w:val="23CB709C"/>
    <w:rsid w:val="23EB366D"/>
    <w:rsid w:val="240B2977"/>
    <w:rsid w:val="25093104"/>
    <w:rsid w:val="25F4725A"/>
    <w:rsid w:val="25FA2126"/>
    <w:rsid w:val="264E10C4"/>
    <w:rsid w:val="26826C25"/>
    <w:rsid w:val="27143665"/>
    <w:rsid w:val="27557011"/>
    <w:rsid w:val="27912172"/>
    <w:rsid w:val="28134687"/>
    <w:rsid w:val="28154B55"/>
    <w:rsid w:val="29AD1196"/>
    <w:rsid w:val="29C23832"/>
    <w:rsid w:val="2A9D2A82"/>
    <w:rsid w:val="2AF12893"/>
    <w:rsid w:val="2B086DAA"/>
    <w:rsid w:val="2B7C4DF0"/>
    <w:rsid w:val="2C0A2310"/>
    <w:rsid w:val="2C2F7678"/>
    <w:rsid w:val="2C396785"/>
    <w:rsid w:val="2CCC5634"/>
    <w:rsid w:val="2D37777F"/>
    <w:rsid w:val="2D3D2EDC"/>
    <w:rsid w:val="2DBE3761"/>
    <w:rsid w:val="2E764B60"/>
    <w:rsid w:val="2ED15C30"/>
    <w:rsid w:val="2FAC28ED"/>
    <w:rsid w:val="30534874"/>
    <w:rsid w:val="30832350"/>
    <w:rsid w:val="31143A0E"/>
    <w:rsid w:val="31915BE7"/>
    <w:rsid w:val="319755FB"/>
    <w:rsid w:val="31FD4887"/>
    <w:rsid w:val="322F56F8"/>
    <w:rsid w:val="32A96FE6"/>
    <w:rsid w:val="33181253"/>
    <w:rsid w:val="337602EB"/>
    <w:rsid w:val="33815FEB"/>
    <w:rsid w:val="33A60283"/>
    <w:rsid w:val="34C810EB"/>
    <w:rsid w:val="34D919E0"/>
    <w:rsid w:val="35302799"/>
    <w:rsid w:val="35717E4C"/>
    <w:rsid w:val="35C21CEA"/>
    <w:rsid w:val="362C55DD"/>
    <w:rsid w:val="364A01C9"/>
    <w:rsid w:val="36714543"/>
    <w:rsid w:val="374A6F7B"/>
    <w:rsid w:val="379055D6"/>
    <w:rsid w:val="381E23B5"/>
    <w:rsid w:val="382E4869"/>
    <w:rsid w:val="38A631F8"/>
    <w:rsid w:val="38AE3672"/>
    <w:rsid w:val="394279E7"/>
    <w:rsid w:val="397A2371"/>
    <w:rsid w:val="39893C7D"/>
    <w:rsid w:val="39AD18FB"/>
    <w:rsid w:val="39C73D70"/>
    <w:rsid w:val="39D328CA"/>
    <w:rsid w:val="3A2B5076"/>
    <w:rsid w:val="3A700230"/>
    <w:rsid w:val="3AAA211C"/>
    <w:rsid w:val="3BAF5870"/>
    <w:rsid w:val="3BB547E0"/>
    <w:rsid w:val="3C5B4116"/>
    <w:rsid w:val="3D16232F"/>
    <w:rsid w:val="3D817077"/>
    <w:rsid w:val="3E5816F4"/>
    <w:rsid w:val="3E95211C"/>
    <w:rsid w:val="3F1A33BE"/>
    <w:rsid w:val="3F967A49"/>
    <w:rsid w:val="3FDF79B7"/>
    <w:rsid w:val="403F6A69"/>
    <w:rsid w:val="406211F9"/>
    <w:rsid w:val="407C36CA"/>
    <w:rsid w:val="410F76BC"/>
    <w:rsid w:val="42910741"/>
    <w:rsid w:val="42AC2D25"/>
    <w:rsid w:val="42C75B2F"/>
    <w:rsid w:val="43646B7B"/>
    <w:rsid w:val="43B84D7D"/>
    <w:rsid w:val="43FA75B3"/>
    <w:rsid w:val="44171C73"/>
    <w:rsid w:val="441B5DE9"/>
    <w:rsid w:val="444B5F81"/>
    <w:rsid w:val="44595BD3"/>
    <w:rsid w:val="44747140"/>
    <w:rsid w:val="44A83D7E"/>
    <w:rsid w:val="45166815"/>
    <w:rsid w:val="454F2E61"/>
    <w:rsid w:val="45DD0B0B"/>
    <w:rsid w:val="46E2095D"/>
    <w:rsid w:val="477E1B01"/>
    <w:rsid w:val="48117538"/>
    <w:rsid w:val="4823602B"/>
    <w:rsid w:val="48D43D9E"/>
    <w:rsid w:val="49792331"/>
    <w:rsid w:val="49D15550"/>
    <w:rsid w:val="4A1C52B3"/>
    <w:rsid w:val="4A415C91"/>
    <w:rsid w:val="4A716A7E"/>
    <w:rsid w:val="4B307FF0"/>
    <w:rsid w:val="4B4F0B9C"/>
    <w:rsid w:val="4C3A36A3"/>
    <w:rsid w:val="4C574161"/>
    <w:rsid w:val="4CEF3697"/>
    <w:rsid w:val="4CF45FCD"/>
    <w:rsid w:val="4D873E5B"/>
    <w:rsid w:val="4DAF1337"/>
    <w:rsid w:val="4DE52074"/>
    <w:rsid w:val="4F1D0500"/>
    <w:rsid w:val="4F56525B"/>
    <w:rsid w:val="4F9D7BE5"/>
    <w:rsid w:val="4FD756B1"/>
    <w:rsid w:val="51525AEB"/>
    <w:rsid w:val="52472700"/>
    <w:rsid w:val="52BF4938"/>
    <w:rsid w:val="52D73980"/>
    <w:rsid w:val="533A2A88"/>
    <w:rsid w:val="535B0B07"/>
    <w:rsid w:val="539C7BE6"/>
    <w:rsid w:val="54D371BA"/>
    <w:rsid w:val="55032A7F"/>
    <w:rsid w:val="552E5F4F"/>
    <w:rsid w:val="55924FAB"/>
    <w:rsid w:val="55C314F2"/>
    <w:rsid w:val="55F92F35"/>
    <w:rsid w:val="566B0A04"/>
    <w:rsid w:val="56892BB9"/>
    <w:rsid w:val="56F82D58"/>
    <w:rsid w:val="57677906"/>
    <w:rsid w:val="57B664D7"/>
    <w:rsid w:val="58182583"/>
    <w:rsid w:val="581F37E7"/>
    <w:rsid w:val="582D4174"/>
    <w:rsid w:val="587525ED"/>
    <w:rsid w:val="58825B29"/>
    <w:rsid w:val="58CD6A39"/>
    <w:rsid w:val="5A2E6867"/>
    <w:rsid w:val="5A5F3146"/>
    <w:rsid w:val="5A8D1D3E"/>
    <w:rsid w:val="5AF20C14"/>
    <w:rsid w:val="5B7032B3"/>
    <w:rsid w:val="5C2567F9"/>
    <w:rsid w:val="5C392FF7"/>
    <w:rsid w:val="5DF16A09"/>
    <w:rsid w:val="5E1D07CE"/>
    <w:rsid w:val="5E222BA6"/>
    <w:rsid w:val="5E87143F"/>
    <w:rsid w:val="5EE40AE4"/>
    <w:rsid w:val="5EF21665"/>
    <w:rsid w:val="5F014F4E"/>
    <w:rsid w:val="5FC776FC"/>
    <w:rsid w:val="5FCC5817"/>
    <w:rsid w:val="602B3F84"/>
    <w:rsid w:val="60453D18"/>
    <w:rsid w:val="608763D3"/>
    <w:rsid w:val="612F0CED"/>
    <w:rsid w:val="617043E4"/>
    <w:rsid w:val="620D3E17"/>
    <w:rsid w:val="622342D3"/>
    <w:rsid w:val="62B95C34"/>
    <w:rsid w:val="62C83A00"/>
    <w:rsid w:val="6307451B"/>
    <w:rsid w:val="6328698B"/>
    <w:rsid w:val="6343672B"/>
    <w:rsid w:val="63D527BE"/>
    <w:rsid w:val="642D103F"/>
    <w:rsid w:val="645C34CE"/>
    <w:rsid w:val="64C03E7D"/>
    <w:rsid w:val="6587264A"/>
    <w:rsid w:val="659E4EC2"/>
    <w:rsid w:val="65A238B6"/>
    <w:rsid w:val="66A8304C"/>
    <w:rsid w:val="67C35A45"/>
    <w:rsid w:val="67E27C02"/>
    <w:rsid w:val="68473869"/>
    <w:rsid w:val="686B7B1D"/>
    <w:rsid w:val="687F107F"/>
    <w:rsid w:val="68A1024E"/>
    <w:rsid w:val="68C72DF5"/>
    <w:rsid w:val="6913329D"/>
    <w:rsid w:val="6AAA4798"/>
    <w:rsid w:val="6B016459"/>
    <w:rsid w:val="6B414711"/>
    <w:rsid w:val="6BD46EF8"/>
    <w:rsid w:val="6C0C1982"/>
    <w:rsid w:val="6C1449A1"/>
    <w:rsid w:val="6C3207B1"/>
    <w:rsid w:val="6DCA26B7"/>
    <w:rsid w:val="6E1E2944"/>
    <w:rsid w:val="6E36174B"/>
    <w:rsid w:val="6E8E7C7C"/>
    <w:rsid w:val="6EBA6B38"/>
    <w:rsid w:val="6F612B92"/>
    <w:rsid w:val="701F27E0"/>
    <w:rsid w:val="70D861E9"/>
    <w:rsid w:val="712D09BB"/>
    <w:rsid w:val="720B212A"/>
    <w:rsid w:val="72D2537A"/>
    <w:rsid w:val="72EC5EBF"/>
    <w:rsid w:val="72F31C74"/>
    <w:rsid w:val="7315038C"/>
    <w:rsid w:val="740721B8"/>
    <w:rsid w:val="74456301"/>
    <w:rsid w:val="756A7A83"/>
    <w:rsid w:val="756B30BC"/>
    <w:rsid w:val="757560B1"/>
    <w:rsid w:val="75E33CAF"/>
    <w:rsid w:val="76670365"/>
    <w:rsid w:val="773243EC"/>
    <w:rsid w:val="77522A56"/>
    <w:rsid w:val="77731994"/>
    <w:rsid w:val="778D1A0F"/>
    <w:rsid w:val="77AF0B07"/>
    <w:rsid w:val="77BD6A65"/>
    <w:rsid w:val="78101A83"/>
    <w:rsid w:val="788858FF"/>
    <w:rsid w:val="79283B3C"/>
    <w:rsid w:val="798B6637"/>
    <w:rsid w:val="79B0201A"/>
    <w:rsid w:val="79BC1FF4"/>
    <w:rsid w:val="7A0131E9"/>
    <w:rsid w:val="7AB55BB3"/>
    <w:rsid w:val="7B385373"/>
    <w:rsid w:val="7B6B3EAD"/>
    <w:rsid w:val="7BC36550"/>
    <w:rsid w:val="7CE75D6E"/>
    <w:rsid w:val="7D07544D"/>
    <w:rsid w:val="7D52609E"/>
    <w:rsid w:val="7EE306AB"/>
    <w:rsid w:val="7EF83E86"/>
    <w:rsid w:val="7F602477"/>
    <w:rsid w:val="7F7B0E2B"/>
    <w:rsid w:val="7FAD3552"/>
    <w:rsid w:val="7FED71B6"/>
  </w:rsids>
  <m:mathPr>
    <m:mathFont m:val="Cambria Math"/>
    <m:brkBin m:val="before"/>
    <m:brkBinSub m:val="--"/>
    <m:smallFrac/>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09A70B"/>
  <w15:docId w15:val="{471B9DB8-0346-4A81-B543-9CF7DA51F4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semiHidden="1"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Theme="minorHAnsi" w:eastAsiaTheme="minorHAnsi" w:hAnsiTheme="minorHAnsi" w:cstheme="minorBidi"/>
      <w:sz w:val="22"/>
      <w:szCs w:val="22"/>
      <w:lang w:eastAsia="en-US"/>
    </w:rPr>
  </w:style>
  <w:style w:type="paragraph" w:styleId="Ttulo1">
    <w:name w:val="heading 1"/>
    <w:basedOn w:val="PargrafodaLista"/>
    <w:next w:val="Normal"/>
    <w:link w:val="Ttulo1Char"/>
    <w:qFormat/>
    <w:pPr>
      <w:numPr>
        <w:numId w:val="1"/>
      </w:numPr>
      <w:spacing w:after="0" w:line="240" w:lineRule="auto"/>
      <w:jc w:val="both"/>
      <w:outlineLvl w:val="0"/>
    </w:pPr>
    <w:rPr>
      <w:rFonts w:ascii="Arial" w:eastAsia="Calibri" w:hAnsi="Arial" w:cs="Times New Roman"/>
      <w:b/>
      <w:sz w:val="20"/>
      <w:szCs w:val="24"/>
    </w:rPr>
  </w:style>
  <w:style w:type="paragraph" w:styleId="Ttulo2">
    <w:name w:val="heading 2"/>
    <w:basedOn w:val="Ttulo1"/>
    <w:next w:val="Normal"/>
    <w:link w:val="Ttulo2Char"/>
    <w:unhideWhenUsed/>
    <w:qFormat/>
    <w:pPr>
      <w:numPr>
        <w:ilvl w:val="1"/>
      </w:numPr>
      <w:outlineLvl w:val="1"/>
    </w:pPr>
    <w:rPr>
      <w:b w:val="0"/>
    </w:rPr>
  </w:style>
  <w:style w:type="paragraph" w:styleId="Ttulo3">
    <w:name w:val="heading 3"/>
    <w:basedOn w:val="Ttulo2"/>
    <w:next w:val="Normal"/>
    <w:link w:val="Ttulo3Char"/>
    <w:unhideWhenUsed/>
    <w:qFormat/>
    <w:pPr>
      <w:numPr>
        <w:ilvl w:val="2"/>
      </w:numPr>
      <w:outlineLvl w:val="2"/>
    </w:pPr>
  </w:style>
  <w:style w:type="paragraph" w:styleId="Ttulo4">
    <w:name w:val="heading 4"/>
    <w:basedOn w:val="Ttulo3"/>
    <w:next w:val="Normal"/>
    <w:link w:val="Ttulo4Char"/>
    <w:unhideWhenUsed/>
    <w:qFormat/>
    <w:pPr>
      <w:numPr>
        <w:ilvl w:val="3"/>
      </w:numPr>
      <w:ind w:left="1021" w:hanging="1021"/>
      <w:outlineLvl w:val="3"/>
    </w:p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pPr>
      <w:ind w:left="720"/>
      <w:contextualSpacing/>
    </w:pPr>
  </w:style>
  <w:style w:type="character" w:styleId="Forte">
    <w:name w:val="Strong"/>
    <w:basedOn w:val="Fontepargpadro"/>
    <w:uiPriority w:val="22"/>
    <w:qFormat/>
    <w:rPr>
      <w:b/>
      <w:bCs/>
    </w:rPr>
  </w:style>
  <w:style w:type="character" w:styleId="Refdecomentrio">
    <w:name w:val="annotation reference"/>
    <w:basedOn w:val="Fontepargpadro"/>
    <w:uiPriority w:val="99"/>
    <w:semiHidden/>
    <w:unhideWhenUsed/>
    <w:qFormat/>
    <w:rPr>
      <w:sz w:val="16"/>
      <w:szCs w:val="16"/>
    </w:rPr>
  </w:style>
  <w:style w:type="character" w:styleId="Hyperlink">
    <w:name w:val="Hyperlink"/>
    <w:basedOn w:val="Fontepargpadro"/>
    <w:uiPriority w:val="99"/>
    <w:unhideWhenUsed/>
    <w:qFormat/>
    <w:rPr>
      <w:color w:val="0000FF" w:themeColor="hyperlink"/>
      <w:u w:val="single"/>
    </w:rPr>
  </w:style>
  <w:style w:type="paragraph" w:styleId="Sumrio2">
    <w:name w:val="toc 2"/>
    <w:basedOn w:val="Normal"/>
    <w:next w:val="Normal"/>
    <w:uiPriority w:val="39"/>
    <w:unhideWhenUsed/>
    <w:qFormat/>
    <w:pPr>
      <w:numPr>
        <w:numId w:val="2"/>
      </w:numPr>
      <w:spacing w:after="100"/>
    </w:pPr>
  </w:style>
  <w:style w:type="paragraph" w:styleId="Corpodetexto">
    <w:name w:val="Body Text"/>
    <w:basedOn w:val="Normal"/>
    <w:link w:val="CorpodetextoChar"/>
    <w:uiPriority w:val="99"/>
    <w:unhideWhenUsed/>
    <w:qFormat/>
    <w:pPr>
      <w:spacing w:after="120"/>
    </w:pPr>
  </w:style>
  <w:style w:type="paragraph" w:styleId="Textodecomentrio">
    <w:name w:val="annotation text"/>
    <w:basedOn w:val="Normal"/>
    <w:link w:val="TextodecomentrioChar"/>
    <w:uiPriority w:val="99"/>
    <w:semiHidden/>
    <w:unhideWhenUsed/>
    <w:qFormat/>
    <w:pPr>
      <w:spacing w:line="240" w:lineRule="auto"/>
    </w:pPr>
    <w:rPr>
      <w:sz w:val="20"/>
      <w:szCs w:val="20"/>
    </w:rPr>
  </w:style>
  <w:style w:type="paragraph" w:styleId="Ttulo">
    <w:name w:val="Title"/>
    <w:basedOn w:val="Normal"/>
    <w:next w:val="Normal"/>
    <w:link w:val="TtuloChar"/>
    <w:qFormat/>
    <w:pPr>
      <w:keepNext/>
      <w:numPr>
        <w:numId w:val="3"/>
      </w:numPr>
      <w:suppressAutoHyphens/>
      <w:spacing w:after="0"/>
      <w:ind w:left="0"/>
      <w:outlineLvl w:val="0"/>
    </w:pPr>
    <w:rPr>
      <w:rFonts w:ascii="Times New Roman" w:eastAsia="Times New Roman" w:hAnsi="Times New Roman" w:cs="Times New Roman"/>
      <w:caps/>
      <w:sz w:val="20"/>
      <w:szCs w:val="20"/>
      <w:lang w:eastAsia="ar-SA"/>
    </w:rPr>
  </w:style>
  <w:style w:type="paragraph" w:styleId="NormalWeb">
    <w:name w:val="Normal (Web)"/>
    <w:basedOn w:val="Normal"/>
    <w:uiPriority w:val="99"/>
    <w:unhideWhenUsed/>
    <w:qFormat/>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Cabealho">
    <w:name w:val="header"/>
    <w:basedOn w:val="Normal"/>
    <w:link w:val="CabealhoChar"/>
    <w:uiPriority w:val="99"/>
    <w:unhideWhenUsed/>
    <w:qFormat/>
    <w:pPr>
      <w:tabs>
        <w:tab w:val="center" w:pos="4252"/>
        <w:tab w:val="right" w:pos="8504"/>
      </w:tabs>
      <w:spacing w:after="0" w:line="240" w:lineRule="auto"/>
      <w:jc w:val="both"/>
    </w:pPr>
    <w:rPr>
      <w:rFonts w:ascii="Arial" w:eastAsia="Calibri" w:hAnsi="Arial" w:cs="Times New Roman"/>
      <w:sz w:val="24"/>
      <w:szCs w:val="24"/>
    </w:rPr>
  </w:style>
  <w:style w:type="paragraph" w:styleId="Assuntodocomentrio">
    <w:name w:val="annotation subject"/>
    <w:basedOn w:val="Textodecomentrio"/>
    <w:next w:val="Textodecomentrio"/>
    <w:link w:val="AssuntodocomentrioChar"/>
    <w:uiPriority w:val="99"/>
    <w:semiHidden/>
    <w:unhideWhenUsed/>
    <w:qFormat/>
    <w:rPr>
      <w:b/>
      <w:bCs/>
    </w:rPr>
  </w:style>
  <w:style w:type="paragraph" w:styleId="Rodap">
    <w:name w:val="footer"/>
    <w:basedOn w:val="Normal"/>
    <w:link w:val="RodapChar"/>
    <w:uiPriority w:val="99"/>
    <w:unhideWhenUsed/>
    <w:qFormat/>
    <w:pPr>
      <w:tabs>
        <w:tab w:val="center" w:pos="4252"/>
        <w:tab w:val="right" w:pos="8504"/>
      </w:tabs>
      <w:spacing w:after="0" w:line="240" w:lineRule="auto"/>
    </w:pPr>
  </w:style>
  <w:style w:type="paragraph" w:styleId="Legenda">
    <w:name w:val="caption"/>
    <w:basedOn w:val="Normal"/>
    <w:next w:val="Normal"/>
    <w:uiPriority w:val="35"/>
    <w:semiHidden/>
    <w:unhideWhenUsed/>
    <w:qFormat/>
    <w:rPr>
      <w:rFonts w:ascii="Arial" w:eastAsia="SimHei" w:hAnsi="Arial" w:cs="Arial"/>
      <w:sz w:val="20"/>
    </w:rPr>
  </w:style>
  <w:style w:type="paragraph" w:styleId="Sumrio3">
    <w:name w:val="toc 3"/>
    <w:basedOn w:val="Normal"/>
    <w:next w:val="Normal"/>
    <w:uiPriority w:val="39"/>
    <w:unhideWhenUsed/>
    <w:qFormat/>
    <w:pPr>
      <w:numPr>
        <w:numId w:val="4"/>
      </w:numPr>
      <w:tabs>
        <w:tab w:val="left" w:pos="1276"/>
      </w:tabs>
      <w:spacing w:after="100"/>
      <w:ind w:hanging="1460"/>
    </w:pPr>
    <w:rPr>
      <w:rFonts w:eastAsiaTheme="minorEastAsia"/>
    </w:rPr>
  </w:style>
  <w:style w:type="paragraph" w:styleId="Textodebalo">
    <w:name w:val="Balloon Text"/>
    <w:basedOn w:val="Normal"/>
    <w:link w:val="TextodebaloChar"/>
    <w:uiPriority w:val="99"/>
    <w:semiHidden/>
    <w:unhideWhenUsed/>
    <w:qFormat/>
    <w:pPr>
      <w:spacing w:after="0" w:line="240" w:lineRule="auto"/>
    </w:pPr>
    <w:rPr>
      <w:rFonts w:ascii="Tahoma" w:hAnsi="Tahoma" w:cs="Tahoma"/>
      <w:sz w:val="16"/>
      <w:szCs w:val="16"/>
    </w:rPr>
  </w:style>
  <w:style w:type="paragraph" w:styleId="Subttulo">
    <w:name w:val="Subtitle"/>
    <w:basedOn w:val="Normal"/>
    <w:next w:val="Normal"/>
    <w:link w:val="SubttuloChar"/>
    <w:uiPriority w:val="11"/>
    <w:qFormat/>
    <w:rPr>
      <w:rFonts w:asciiTheme="majorHAnsi" w:eastAsiaTheme="majorEastAsia" w:hAnsiTheme="majorHAnsi" w:cstheme="majorBidi"/>
      <w:i/>
      <w:iCs/>
      <w:color w:val="4F81BD" w:themeColor="accent1"/>
      <w:spacing w:val="15"/>
      <w:sz w:val="24"/>
      <w:szCs w:val="24"/>
    </w:rPr>
  </w:style>
  <w:style w:type="paragraph" w:styleId="Sumrio1">
    <w:name w:val="toc 1"/>
    <w:basedOn w:val="Normal"/>
    <w:next w:val="Normal"/>
    <w:uiPriority w:val="39"/>
    <w:unhideWhenUsed/>
    <w:qFormat/>
    <w:pPr>
      <w:numPr>
        <w:numId w:val="5"/>
      </w:numPr>
      <w:spacing w:after="100"/>
    </w:pPr>
    <w:rPr>
      <w:rFonts w:eastAsiaTheme="minorEastAsia"/>
    </w:rPr>
  </w:style>
  <w:style w:type="paragraph" w:styleId="Recuodecorpodetexto">
    <w:name w:val="Body Text Indent"/>
    <w:basedOn w:val="Normal"/>
    <w:link w:val="RecuodecorpodetextoChar"/>
    <w:semiHidden/>
    <w:qFormat/>
    <w:pPr>
      <w:suppressAutoHyphens/>
      <w:spacing w:after="0" w:line="240" w:lineRule="auto"/>
      <w:ind w:firstLine="2127"/>
      <w:jc w:val="both"/>
    </w:pPr>
    <w:rPr>
      <w:rFonts w:ascii="Times New Roman" w:eastAsia="Times New Roman" w:hAnsi="Times New Roman" w:cs="Times New Roman"/>
      <w:sz w:val="28"/>
      <w:szCs w:val="20"/>
    </w:rPr>
  </w:style>
  <w:style w:type="table" w:styleId="Tabelacomgrade">
    <w:name w:val="Table Grid"/>
    <w:basedOn w:val="Tabelanormal"/>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odebaloChar">
    <w:name w:val="Texto de balão Char"/>
    <w:basedOn w:val="Fontepargpadro"/>
    <w:link w:val="Textodebalo"/>
    <w:uiPriority w:val="99"/>
    <w:semiHidden/>
    <w:qFormat/>
    <w:rPr>
      <w:rFonts w:ascii="Tahoma" w:hAnsi="Tahoma" w:cs="Tahoma"/>
      <w:sz w:val="16"/>
      <w:szCs w:val="16"/>
    </w:rPr>
  </w:style>
  <w:style w:type="character" w:customStyle="1" w:styleId="CabealhoChar">
    <w:name w:val="Cabeçalho Char"/>
    <w:basedOn w:val="Fontepargpadro"/>
    <w:link w:val="Cabealho"/>
    <w:uiPriority w:val="99"/>
    <w:qFormat/>
    <w:rPr>
      <w:rFonts w:ascii="Arial" w:eastAsia="Calibri" w:hAnsi="Arial" w:cs="Times New Roman"/>
      <w:sz w:val="24"/>
      <w:szCs w:val="24"/>
    </w:rPr>
  </w:style>
  <w:style w:type="character" w:customStyle="1" w:styleId="RodapChar">
    <w:name w:val="Rodapé Char"/>
    <w:basedOn w:val="Fontepargpadro"/>
    <w:link w:val="Rodap"/>
    <w:uiPriority w:val="99"/>
    <w:qFormat/>
  </w:style>
  <w:style w:type="paragraph" w:customStyle="1" w:styleId="Default">
    <w:name w:val="Default"/>
    <w:qFormat/>
    <w:pPr>
      <w:autoSpaceDE w:val="0"/>
      <w:autoSpaceDN w:val="0"/>
      <w:adjustRightInd w:val="0"/>
    </w:pPr>
    <w:rPr>
      <w:rFonts w:eastAsiaTheme="minorHAnsi"/>
      <w:color w:val="000000"/>
      <w:sz w:val="24"/>
      <w:szCs w:val="24"/>
      <w:lang w:eastAsia="en-US"/>
    </w:rPr>
  </w:style>
  <w:style w:type="character" w:customStyle="1" w:styleId="Ttulo1Char">
    <w:name w:val="Título 1 Char"/>
    <w:basedOn w:val="Fontepargpadro"/>
    <w:link w:val="Ttulo1"/>
    <w:qFormat/>
    <w:rPr>
      <w:rFonts w:ascii="Arial" w:eastAsia="Calibri" w:hAnsi="Arial" w:cs="Times New Roman"/>
      <w:b/>
      <w:sz w:val="20"/>
      <w:szCs w:val="24"/>
    </w:rPr>
  </w:style>
  <w:style w:type="character" w:customStyle="1" w:styleId="Ttulo2Char">
    <w:name w:val="Título 2 Char"/>
    <w:basedOn w:val="Fontepargpadro"/>
    <w:link w:val="Ttulo2"/>
    <w:qFormat/>
    <w:rPr>
      <w:rFonts w:ascii="Arial" w:eastAsia="Calibri" w:hAnsi="Arial" w:cs="Times New Roman"/>
      <w:sz w:val="20"/>
      <w:szCs w:val="24"/>
    </w:rPr>
  </w:style>
  <w:style w:type="character" w:customStyle="1" w:styleId="Ttulo3Char">
    <w:name w:val="Título 3 Char"/>
    <w:basedOn w:val="Fontepargpadro"/>
    <w:link w:val="Ttulo3"/>
    <w:qFormat/>
    <w:rPr>
      <w:rFonts w:ascii="Arial" w:eastAsia="Calibri" w:hAnsi="Arial" w:cs="Times New Roman"/>
      <w:sz w:val="20"/>
      <w:szCs w:val="24"/>
    </w:rPr>
  </w:style>
  <w:style w:type="character" w:customStyle="1" w:styleId="Ttulo4Char">
    <w:name w:val="Título 4 Char"/>
    <w:basedOn w:val="Fontepargpadro"/>
    <w:link w:val="Ttulo4"/>
    <w:qFormat/>
    <w:rPr>
      <w:rFonts w:ascii="Arial" w:eastAsia="Calibri" w:hAnsi="Arial" w:cs="Times New Roman"/>
      <w:sz w:val="20"/>
      <w:szCs w:val="24"/>
    </w:rPr>
  </w:style>
  <w:style w:type="character" w:customStyle="1" w:styleId="hgkelc">
    <w:name w:val="hgkelc"/>
    <w:basedOn w:val="Fontepargpadro"/>
    <w:qFormat/>
  </w:style>
  <w:style w:type="character" w:customStyle="1" w:styleId="TextodecomentrioChar">
    <w:name w:val="Texto de comentário Char"/>
    <w:basedOn w:val="Fontepargpadro"/>
    <w:link w:val="Textodecomentrio"/>
    <w:uiPriority w:val="99"/>
    <w:semiHidden/>
    <w:qFormat/>
    <w:rPr>
      <w:sz w:val="20"/>
      <w:szCs w:val="20"/>
    </w:rPr>
  </w:style>
  <w:style w:type="character" w:customStyle="1" w:styleId="AssuntodocomentrioChar">
    <w:name w:val="Assunto do comentário Char"/>
    <w:basedOn w:val="TextodecomentrioChar"/>
    <w:link w:val="Assuntodocomentrio"/>
    <w:uiPriority w:val="99"/>
    <w:semiHidden/>
    <w:qFormat/>
    <w:rPr>
      <w:b/>
      <w:bCs/>
      <w:sz w:val="20"/>
      <w:szCs w:val="20"/>
    </w:rPr>
  </w:style>
  <w:style w:type="paragraph" w:styleId="SemEspaamento">
    <w:name w:val="No Spacing"/>
    <w:link w:val="SemEspaamentoChar"/>
    <w:uiPriority w:val="1"/>
    <w:qFormat/>
    <w:rPr>
      <w:rFonts w:asciiTheme="minorHAnsi" w:eastAsiaTheme="minorEastAsia" w:hAnsiTheme="minorHAnsi" w:cstheme="minorBidi"/>
      <w:sz w:val="22"/>
      <w:szCs w:val="22"/>
      <w:lang w:eastAsia="en-US"/>
    </w:rPr>
  </w:style>
  <w:style w:type="character" w:customStyle="1" w:styleId="SemEspaamentoChar">
    <w:name w:val="Sem Espaçamento Char"/>
    <w:basedOn w:val="Fontepargpadro"/>
    <w:link w:val="SemEspaamento"/>
    <w:uiPriority w:val="1"/>
    <w:qFormat/>
    <w:rPr>
      <w:rFonts w:eastAsiaTheme="minorEastAsia"/>
    </w:rPr>
  </w:style>
  <w:style w:type="character" w:customStyle="1" w:styleId="nfaseSutil1">
    <w:name w:val="Ênfase Sutil1"/>
    <w:basedOn w:val="Fontepargpadro"/>
    <w:uiPriority w:val="19"/>
    <w:qFormat/>
    <w:rPr>
      <w:i/>
      <w:iCs/>
      <w:color w:val="7F7F7F" w:themeColor="text1" w:themeTint="80"/>
    </w:rPr>
  </w:style>
  <w:style w:type="character" w:customStyle="1" w:styleId="RecuodecorpodetextoChar">
    <w:name w:val="Recuo de corpo de texto Char"/>
    <w:basedOn w:val="Fontepargpadro"/>
    <w:link w:val="Recuodecorpodetexto"/>
    <w:semiHidden/>
    <w:qFormat/>
    <w:rPr>
      <w:rFonts w:ascii="Times New Roman" w:eastAsia="Times New Roman" w:hAnsi="Times New Roman" w:cs="Times New Roman"/>
      <w:sz w:val="28"/>
      <w:szCs w:val="20"/>
    </w:rPr>
  </w:style>
  <w:style w:type="character" w:customStyle="1" w:styleId="TtuloChar">
    <w:name w:val="Título Char"/>
    <w:basedOn w:val="Fontepargpadro"/>
    <w:link w:val="Ttulo"/>
    <w:qFormat/>
    <w:rPr>
      <w:rFonts w:ascii="Times New Roman" w:eastAsia="Times New Roman" w:hAnsi="Times New Roman" w:cs="Times New Roman"/>
      <w:caps/>
      <w:sz w:val="20"/>
      <w:szCs w:val="20"/>
      <w:lang w:eastAsia="ar-SA"/>
    </w:rPr>
  </w:style>
  <w:style w:type="character" w:customStyle="1" w:styleId="SubttuloChar">
    <w:name w:val="Subtítulo Char"/>
    <w:basedOn w:val="Fontepargpadro"/>
    <w:link w:val="Subttulo"/>
    <w:uiPriority w:val="11"/>
    <w:qFormat/>
    <w:rPr>
      <w:rFonts w:asciiTheme="majorHAnsi" w:eastAsiaTheme="majorEastAsia" w:hAnsiTheme="majorHAnsi" w:cstheme="majorBidi"/>
      <w:i/>
      <w:iCs/>
      <w:color w:val="4F81BD" w:themeColor="accent1"/>
      <w:spacing w:val="15"/>
      <w:sz w:val="24"/>
      <w:szCs w:val="24"/>
    </w:rPr>
  </w:style>
  <w:style w:type="paragraph" w:customStyle="1" w:styleId="CabealhodoSumrio1">
    <w:name w:val="Cabeçalho do Sumário1"/>
    <w:basedOn w:val="Ttulo1"/>
    <w:next w:val="Normal"/>
    <w:uiPriority w:val="39"/>
    <w:semiHidden/>
    <w:unhideWhenUsed/>
    <w:qFormat/>
    <w:pPr>
      <w:keepNext/>
      <w:keepLines/>
      <w:numPr>
        <w:numId w:val="0"/>
      </w:numPr>
      <w:spacing w:before="480" w:line="276" w:lineRule="auto"/>
      <w:contextualSpacing w:val="0"/>
      <w:jc w:val="left"/>
      <w:outlineLvl w:val="9"/>
    </w:pPr>
    <w:rPr>
      <w:rFonts w:asciiTheme="majorHAnsi" w:eastAsiaTheme="majorEastAsia" w:hAnsiTheme="majorHAnsi" w:cstheme="majorBidi"/>
      <w:bCs/>
      <w:color w:val="365F91" w:themeColor="accent1" w:themeShade="BF"/>
      <w:sz w:val="28"/>
      <w:szCs w:val="28"/>
    </w:rPr>
  </w:style>
  <w:style w:type="character" w:customStyle="1" w:styleId="CorpodetextoChar">
    <w:name w:val="Corpo de texto Char"/>
    <w:basedOn w:val="Fontepargpadro"/>
    <w:link w:val="Corpodetexto"/>
    <w:uiPriority w:val="99"/>
    <w:qFormat/>
  </w:style>
  <w:style w:type="paragraph" w:customStyle="1" w:styleId="CabealhodoSumrio2">
    <w:name w:val="Cabeçalho do Sumário2"/>
    <w:basedOn w:val="Ttulo1"/>
    <w:next w:val="Normal"/>
    <w:uiPriority w:val="39"/>
    <w:unhideWhenUsed/>
    <w:qFormat/>
    <w:pPr>
      <w:keepNext/>
      <w:keepLines/>
      <w:numPr>
        <w:numId w:val="0"/>
      </w:numPr>
      <w:spacing w:before="240" w:line="259" w:lineRule="auto"/>
      <w:contextualSpacing w:val="0"/>
      <w:jc w:val="left"/>
      <w:outlineLvl w:val="9"/>
    </w:pPr>
    <w:rPr>
      <w:rFonts w:asciiTheme="majorHAnsi" w:eastAsiaTheme="majorEastAsia" w:hAnsiTheme="majorHAnsi" w:cstheme="majorBidi"/>
      <w:b w:val="0"/>
      <w:color w:val="365F91" w:themeColor="accent1" w:themeShade="BF"/>
      <w:sz w:val="32"/>
      <w:szCs w:val="3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png"/><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2021-08-01T00:00:00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datastoreItem>
</file>

<file path=customXml/itemProps2.xml><?xml version="1.0" encoding="utf-8"?>
<ds:datastoreItem xmlns:ds="http://schemas.openxmlformats.org/officeDocument/2006/customXml" ds:itemID="{A3EAA524-5245-443E-A979-483C9385B603}">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3909</Words>
  <Characters>21113</Characters>
  <Application>Microsoft Office Word</Application>
  <DocSecurity>0</DocSecurity>
  <Lines>175</Lines>
  <Paragraphs>49</Paragraphs>
  <ScaleCrop>false</ScaleCrop>
  <Company/>
  <LinksUpToDate>false</LinksUpToDate>
  <CharactersWithSpaces>24973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ESTUDO TÉCNICO PRELIMINAR – ETP</dc:title>
  <dc:creator>Soraia Almeida Santos</dc:creator>
  <cp:lastModifiedBy>Ana Maiara Veiga Pereira</cp:lastModifiedBy>
  <cp:revision>2</cp:revision>
  <cp:lastPrinted>2020-08-25T19:33:00Z</cp:lastPrinted>
  <dcterms:created xsi:type="dcterms:W3CDTF">2023-09-19T18:40:00Z</dcterms:created>
  <dcterms:modified xsi:type="dcterms:W3CDTF">2023-09-19T18:40:00Z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1046-12.2.0.13201</vt:lpwstr>
  </property>
  <property fmtid="{D5CDD505-2E9C-101B-9397-08002B2CF9AE}" pid="3" name="ICV">
    <vt:lpwstr>E5EB4497979541F5982DEA329F8FC59A</vt:lpwstr>
  </property>
</Properties>
</file>