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C7C2" w14:textId="77777777" w:rsidR="00E831C8" w:rsidRPr="00DF6E5B" w:rsidRDefault="00E831C8" w:rsidP="00E831C8">
      <w:pPr>
        <w:jc w:val="center"/>
        <w:rPr>
          <w:rFonts w:ascii="Arial" w:hAnsi="Arial" w:cs="Arial"/>
          <w:b/>
          <w:sz w:val="32"/>
          <w:szCs w:val="32"/>
        </w:rPr>
      </w:pPr>
      <w:r w:rsidRPr="00DF6E5B">
        <w:rPr>
          <w:rFonts w:ascii="Arial" w:hAnsi="Arial" w:cs="Arial"/>
          <w:b/>
          <w:sz w:val="32"/>
          <w:szCs w:val="32"/>
        </w:rPr>
        <w:t>Matriz de Riscos</w:t>
      </w:r>
    </w:p>
    <w:p w14:paraId="3DB073B8" w14:textId="6A447AC3" w:rsidR="00E831C8" w:rsidRDefault="00E831C8" w:rsidP="00E831C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Data de Elaboração:</w:t>
      </w:r>
      <w:r w:rsidR="00F83486">
        <w:rPr>
          <w:rFonts w:ascii="Arial" w:hAnsi="Arial" w:cs="Arial"/>
          <w:b/>
          <w:sz w:val="24"/>
          <w:szCs w:val="24"/>
        </w:rPr>
        <w:t xml:space="preserve"> </w:t>
      </w:r>
      <w:r w:rsidR="00C46922">
        <w:rPr>
          <w:rFonts w:ascii="Arial" w:hAnsi="Arial" w:cs="Arial"/>
          <w:b/>
          <w:sz w:val="24"/>
          <w:szCs w:val="24"/>
        </w:rPr>
        <w:t>20</w:t>
      </w:r>
      <w:r w:rsidR="005F53E0">
        <w:rPr>
          <w:rFonts w:ascii="Arial" w:hAnsi="Arial" w:cs="Arial"/>
          <w:b/>
          <w:sz w:val="24"/>
          <w:szCs w:val="24"/>
        </w:rPr>
        <w:t>/</w:t>
      </w:r>
      <w:r w:rsidR="00C46922">
        <w:rPr>
          <w:rFonts w:ascii="Arial" w:hAnsi="Arial" w:cs="Arial"/>
          <w:b/>
          <w:sz w:val="24"/>
          <w:szCs w:val="24"/>
        </w:rPr>
        <w:t>10</w:t>
      </w:r>
      <w:r w:rsidR="003552ED">
        <w:rPr>
          <w:rFonts w:ascii="Arial" w:hAnsi="Arial" w:cs="Arial"/>
          <w:b/>
          <w:sz w:val="24"/>
          <w:szCs w:val="24"/>
        </w:rPr>
        <w:t>/202</w:t>
      </w:r>
      <w:r w:rsidR="004461AC">
        <w:rPr>
          <w:rFonts w:ascii="Arial" w:hAnsi="Arial" w:cs="Arial"/>
          <w:b/>
          <w:sz w:val="24"/>
          <w:szCs w:val="24"/>
        </w:rPr>
        <w:t>3</w:t>
      </w:r>
    </w:p>
    <w:p w14:paraId="35543389" w14:textId="0C33D5F1" w:rsidR="00F3145F" w:rsidRPr="00F3145F" w:rsidRDefault="00F3145F" w:rsidP="00E831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OBJETO:</w:t>
      </w:r>
      <w:r w:rsidR="00013EA1">
        <w:rPr>
          <w:rFonts w:ascii="Arial" w:hAnsi="Arial" w:cs="Arial"/>
          <w:b/>
          <w:sz w:val="24"/>
          <w:szCs w:val="24"/>
        </w:rPr>
        <w:t xml:space="preserve"> </w:t>
      </w:r>
      <w:r w:rsidR="00013EA1" w:rsidRPr="00E8288F">
        <w:rPr>
          <w:rFonts w:ascii="Arial" w:hAnsi="Arial" w:cs="Arial"/>
          <w:sz w:val="24"/>
          <w:szCs w:val="20"/>
        </w:rPr>
        <w:t>Fornecimento</w:t>
      </w:r>
      <w:r w:rsidR="00013EA1" w:rsidRPr="00E8288F">
        <w:rPr>
          <w:rFonts w:ascii="Arial" w:hAnsi="Arial" w:cs="Arial"/>
          <w:color w:val="0070C0"/>
          <w:sz w:val="24"/>
          <w:szCs w:val="20"/>
        </w:rPr>
        <w:t xml:space="preserve"> </w:t>
      </w:r>
      <w:r w:rsidR="00013EA1" w:rsidRPr="00E8288F">
        <w:rPr>
          <w:rFonts w:ascii="Arial" w:hAnsi="Arial" w:cs="Arial"/>
          <w:bCs/>
          <w:sz w:val="24"/>
          <w:szCs w:val="20"/>
        </w:rPr>
        <w:t>de veículos visando atender às necessidades da 2ª Superintendência Regional da CODEVASF, no estado da Bahia</w:t>
      </w:r>
      <w:r w:rsidR="00013EA1">
        <w:rPr>
          <w:rFonts w:ascii="Arial" w:hAnsi="Arial" w:cs="Arial"/>
          <w:bCs/>
          <w:sz w:val="24"/>
          <w:szCs w:val="20"/>
        </w:rPr>
        <w:t>.</w:t>
      </w:r>
    </w:p>
    <w:tbl>
      <w:tblPr>
        <w:tblW w:w="14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2696"/>
        <w:gridCol w:w="3118"/>
        <w:gridCol w:w="3261"/>
        <w:gridCol w:w="3827"/>
      </w:tblGrid>
      <w:tr w:rsidR="00E831C8" w:rsidRPr="007F2677" w14:paraId="765FA386" w14:textId="77777777" w:rsidTr="00F61D37">
        <w:trPr>
          <w:trHeight w:val="900"/>
          <w:tblHeader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1D807E" w14:textId="77777777"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bookmarkStart w:id="0" w:name="RANGE!A1:E60"/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Tipo de Risco</w:t>
            </w:r>
            <w:bookmarkEnd w:id="0"/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FD755AF" w14:textId="77777777"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2FF1AC7" w14:textId="77777777"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Materialização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FB31609" w14:textId="77777777"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Mitigação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4615DFE" w14:textId="77777777" w:rsidR="00E831C8" w:rsidRPr="007F2677" w:rsidRDefault="00E831C8" w:rsidP="009F76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Alocação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 de Responsabilidade pelo Risco</w:t>
            </w:r>
          </w:p>
        </w:tc>
      </w:tr>
      <w:tr w:rsidR="00F61D37" w:rsidRPr="007F2677" w14:paraId="3329A4B1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4C1B" w14:textId="77777777" w:rsidR="00F61D37" w:rsidRPr="0083720F" w:rsidRDefault="00F61D37" w:rsidP="00F61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8E8A" w14:textId="77777777" w:rsidR="00F61D37" w:rsidRPr="0083720F" w:rsidRDefault="00F61D37" w:rsidP="00501C5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Mudanças tributárias alterando os custos </w:t>
            </w:r>
            <w:r w:rsidR="00501C52"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final dos veículos</w:t>
            </w: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F8BC" w14:textId="77777777" w:rsidR="00F61D37" w:rsidRPr="0083720F" w:rsidRDefault="00F61D37" w:rsidP="00501C52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 Alteração da carga tributária incidente sobre </w:t>
            </w:r>
            <w:r w:rsidR="00501C52"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 produto</w:t>
            </w: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0B67" w14:textId="77777777" w:rsidR="00F61D37" w:rsidRPr="0083720F" w:rsidRDefault="00F61D37" w:rsidP="00F61D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56B9" w14:textId="77777777" w:rsidR="00F61D37" w:rsidRPr="0083720F" w:rsidRDefault="00F61D37" w:rsidP="00F61D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Contratante, que celebrará aditivo de reequilíbrio econômico-financeiro.</w:t>
            </w:r>
          </w:p>
        </w:tc>
      </w:tr>
      <w:tr w:rsidR="005467CD" w:rsidRPr="007F2677" w14:paraId="01E3AE19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FD797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AC07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Risco de rescisão ou anulação do contrato por fatores atribuíveis ao contratado.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38CC" w14:textId="77777777" w:rsidR="005467CD" w:rsidRPr="0083720F" w:rsidRDefault="005467CD" w:rsidP="00333248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Custos administrativos para realização de nova licitação/contratação.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1C30D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Cláusula contratual prevendo a aplicação de penalidades e de rescisão unilateral do contrato.</w:t>
            </w:r>
          </w:p>
          <w:p w14:paraId="26449481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3001D6FB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Cláusula contratual prevendo a imputação ao contratado de quaisquer outras perdas e danos da Administração em virtude da rescisão contratual por culpa do contratado.</w:t>
            </w:r>
          </w:p>
          <w:p w14:paraId="51A124EA" w14:textId="77777777" w:rsidR="00C21907" w:rsidRPr="0083720F" w:rsidRDefault="00C21907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F4A8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Risco exclusivo do contratado.</w:t>
            </w:r>
          </w:p>
        </w:tc>
      </w:tr>
      <w:tr w:rsidR="005467CD" w:rsidRPr="0083720F" w14:paraId="7BA93D42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9920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Liquidez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2244" w14:textId="77777777" w:rsidR="005467CD" w:rsidRPr="0083720F" w:rsidRDefault="005467CD" w:rsidP="0033324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Problemas de liquidez financeira do con</w:t>
            </w:r>
            <w:r w:rsidR="00333248"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tratado</w:t>
            </w: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, bem como declaração de falência ou recuperação judicial do contratado.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59AE" w14:textId="77777777" w:rsidR="005467CD" w:rsidRPr="0083720F" w:rsidRDefault="005467CD" w:rsidP="00333248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Custos administrativos para realização de nova licitação/contratação.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2CEC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Cláusula contratual prevendo a aplicação de penalidades e de rescisão unilateral do contrato.</w:t>
            </w:r>
          </w:p>
          <w:p w14:paraId="78CD22DC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0BF5CE9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Cláusula contratual prevendo a imputação ao contratado de quaisquer outras perdas e danos da Estatal em virtude da rescisão contratual por culpa do contratado.</w:t>
            </w:r>
          </w:p>
          <w:p w14:paraId="785C54BF" w14:textId="77777777" w:rsidR="005467CD" w:rsidRPr="0083720F" w:rsidRDefault="005467CD" w:rsidP="003332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1834" w14:textId="77777777" w:rsidR="005467CD" w:rsidRPr="0083720F" w:rsidRDefault="005467CD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Risco exclusivo do contratado.</w:t>
            </w:r>
          </w:p>
        </w:tc>
      </w:tr>
      <w:tr w:rsidR="00C21907" w:rsidRPr="0083720F" w14:paraId="3F9FBCDF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F9ED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B0C5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Acidentes no transporte dos veículos.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4DD5" w14:textId="77777777" w:rsidR="00C21907" w:rsidRPr="0083720F" w:rsidRDefault="00C21907" w:rsidP="00C21907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Aumento dos custos.</w:t>
            </w:r>
          </w:p>
          <w:p w14:paraId="3373BD2C" w14:textId="77777777" w:rsidR="00C21907" w:rsidRPr="0083720F" w:rsidRDefault="00C21907" w:rsidP="00C21907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Necessidade de repor os </w:t>
            </w:r>
            <w:r w:rsidR="00957813"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veículos </w:t>
            </w: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danificados.</w:t>
            </w:r>
          </w:p>
          <w:p w14:paraId="7A2CFDD3" w14:textId="77777777" w:rsidR="00C21907" w:rsidRPr="0083720F" w:rsidRDefault="00C21907" w:rsidP="00C21907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Responsabilidade civil por danos à propriedade de terceiros.</w:t>
            </w:r>
          </w:p>
          <w:p w14:paraId="2B127460" w14:textId="77777777" w:rsidR="00C21907" w:rsidRPr="0083720F" w:rsidRDefault="00C21907" w:rsidP="00C21907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Indenizações por danos materiais ou morais a eventuais vítimas.</w:t>
            </w:r>
          </w:p>
          <w:p w14:paraId="7E074FED" w14:textId="77777777" w:rsidR="00C21907" w:rsidRPr="0083720F" w:rsidRDefault="00C21907" w:rsidP="00C21907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Condenações na esfera </w:t>
            </w:r>
            <w:r w:rsidR="00957813"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judicial</w:t>
            </w: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  <w:p w14:paraId="79923B1E" w14:textId="77777777" w:rsidR="00C21907" w:rsidRPr="0083720F" w:rsidRDefault="00C21907" w:rsidP="00C21907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Multas e outras penalidades aplicadas por órgãos de fiscalização.</w:t>
            </w:r>
          </w:p>
          <w:p w14:paraId="79F2F032" w14:textId="77777777" w:rsidR="00C21907" w:rsidRPr="0083720F" w:rsidRDefault="00C21907" w:rsidP="00C21907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Responsabilização penal dos responsáveis técnicos.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A991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Cumprimento das </w:t>
            </w:r>
            <w:r w:rsidR="005D0248"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Normas de S</w:t>
            </w: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egurança do </w:t>
            </w:r>
            <w:r w:rsidR="005D0248"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</w:t>
            </w:r>
            <w:r w:rsidR="00957813"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ransportes (NR-11)</w:t>
            </w: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.</w:t>
            </w:r>
          </w:p>
          <w:p w14:paraId="2677262D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400419F" w14:textId="77777777" w:rsidR="00C21907" w:rsidRPr="0083720F" w:rsidRDefault="00957813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Cumprimento Lei de Transporte Rodoviário de Cargas nº.11.442/2017.</w:t>
            </w:r>
          </w:p>
          <w:p w14:paraId="58E25038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D2C5DEA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Contratação de seguro de responsabilidade civil ou de risco com cobertura adequada.</w:t>
            </w:r>
          </w:p>
          <w:p w14:paraId="2A1BD797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92A7FD2" w14:textId="77777777" w:rsidR="00957813" w:rsidRPr="0083720F" w:rsidRDefault="00957813" w:rsidP="009578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Cumprimento </w:t>
            </w:r>
            <w:r w:rsidRPr="0083720F">
              <w:rPr>
                <w:rFonts w:eastAsia="Times New Roman"/>
                <w:sz w:val="18"/>
                <w:szCs w:val="18"/>
                <w:lang w:eastAsia="pt-BR"/>
              </w:rPr>
              <w:t>Lei</w:t>
            </w: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9.503/97 – Código de </w:t>
            </w:r>
            <w:r w:rsidRPr="0083720F">
              <w:rPr>
                <w:rFonts w:eastAsia="Times New Roman"/>
                <w:sz w:val="18"/>
                <w:szCs w:val="18"/>
                <w:lang w:eastAsia="pt-BR"/>
              </w:rPr>
              <w:t>Trânsito</w:t>
            </w: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Brasileiro – CTB.</w:t>
            </w:r>
          </w:p>
          <w:p w14:paraId="3E764519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5B78F" w14:textId="77777777" w:rsidR="00C21907" w:rsidRPr="0083720F" w:rsidRDefault="00C21907" w:rsidP="00C219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Risco exclusivo do contratado, cabendo ação de regresso do contratante contra o contratado no caso de a estatal ser acionada judicialmente por terceiros em virtude dos acidentes.</w:t>
            </w:r>
          </w:p>
        </w:tc>
      </w:tr>
      <w:tr w:rsidR="00EA1076" w:rsidRPr="0083720F" w14:paraId="6843B04F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7B45" w14:textId="77777777" w:rsidR="00EA1076" w:rsidRPr="0083720F" w:rsidRDefault="00EA1076" w:rsidP="00EA107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F21C" w14:textId="77777777" w:rsidR="00EA1076" w:rsidRPr="0083720F" w:rsidRDefault="00055280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Omissão no pagamento dos Tributos de Transporte Rodoviários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19AD" w14:textId="77777777" w:rsidR="00EA1076" w:rsidRPr="0083720F" w:rsidRDefault="00055280" w:rsidP="00EA107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Retenção da carga transportada.</w:t>
            </w:r>
          </w:p>
          <w:p w14:paraId="7BC4E546" w14:textId="77777777" w:rsidR="00656EC3" w:rsidRPr="0083720F" w:rsidRDefault="00055280" w:rsidP="00EA107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Atraso na entrega dos bens</w:t>
            </w:r>
            <w:r w:rsidR="00656EC3"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  <w:p w14:paraId="4B9CB00E" w14:textId="77777777" w:rsidR="00055280" w:rsidRPr="0083720F" w:rsidRDefault="00055280" w:rsidP="000552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EC37" w14:textId="77777777" w:rsidR="00055280" w:rsidRPr="0083720F" w:rsidRDefault="00055280" w:rsidP="000552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Cumprimento das Normas de Tributação de Transporte Rodoviário.</w:t>
            </w:r>
          </w:p>
          <w:p w14:paraId="04E4DFBD" w14:textId="77777777" w:rsidR="005D0248" w:rsidRPr="0083720F" w:rsidRDefault="005D0248" w:rsidP="000552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5B67FC66" w14:textId="77777777" w:rsidR="005D0248" w:rsidRPr="0083720F" w:rsidRDefault="005D0248" w:rsidP="005D02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Cumprimento </w:t>
            </w:r>
            <w:r w:rsidRPr="0083720F">
              <w:rPr>
                <w:rFonts w:eastAsia="Times New Roman"/>
                <w:sz w:val="18"/>
                <w:szCs w:val="18"/>
                <w:lang w:eastAsia="pt-BR"/>
              </w:rPr>
              <w:t>Lei</w:t>
            </w: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9.503/97 – Código de </w:t>
            </w:r>
            <w:r w:rsidRPr="0083720F">
              <w:rPr>
                <w:rFonts w:eastAsia="Times New Roman"/>
                <w:sz w:val="18"/>
                <w:szCs w:val="18"/>
                <w:lang w:eastAsia="pt-BR"/>
              </w:rPr>
              <w:t>Trânsito</w:t>
            </w: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Brasileiro – CTB.</w:t>
            </w:r>
          </w:p>
          <w:p w14:paraId="3F4AAB5F" w14:textId="77777777" w:rsidR="00C62EFA" w:rsidRPr="0083720F" w:rsidRDefault="00C62EFA" w:rsidP="00C62E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2E9D3EF1" w14:textId="77777777" w:rsidR="00656EC3" w:rsidRPr="0083720F" w:rsidRDefault="00656EC3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D0" w14:textId="77777777" w:rsidR="00EA1076" w:rsidRPr="0083720F" w:rsidRDefault="00656EC3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Contratante arcará com as despesas financeiras e todo o trâmite administrativo necessário.</w:t>
            </w:r>
          </w:p>
          <w:p w14:paraId="3301D48B" w14:textId="77777777" w:rsidR="00656EC3" w:rsidRPr="0083720F" w:rsidRDefault="00656EC3" w:rsidP="005467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Contratada terá responsabilidade compartilhada em caso de ações judiciais.</w:t>
            </w:r>
          </w:p>
        </w:tc>
      </w:tr>
      <w:tr w:rsidR="00D1651D" w:rsidRPr="0083720F" w14:paraId="10CDA298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C269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E559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Roubos e furtos de materiais e equipamentos do veículo.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71CD" w14:textId="77777777" w:rsidR="00D1651D" w:rsidRPr="0083720F" w:rsidRDefault="00D1651D" w:rsidP="00D1651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Aumento de custos de execução.           </w:t>
            </w:r>
          </w:p>
          <w:p w14:paraId="4F22C9F2" w14:textId="77777777" w:rsidR="00D1651D" w:rsidRPr="0083720F" w:rsidRDefault="00D1651D" w:rsidP="00D1651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Eventuais atrasos para a aquisição de novos bens.</w:t>
            </w:r>
          </w:p>
          <w:p w14:paraId="04AA2827" w14:textId="77777777" w:rsidR="00D1651D" w:rsidRPr="0083720F" w:rsidRDefault="00D1651D" w:rsidP="00D1651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Eventuais danos aos veículos.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0E7A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Seguro contra roubos e furtos.</w:t>
            </w:r>
          </w:p>
          <w:p w14:paraId="51DF1B89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7303FF7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Previsão de posto de vigia nos locais de guarda.</w:t>
            </w:r>
          </w:p>
          <w:p w14:paraId="1112E7D6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1D54AF06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2815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Risco exclusivo do contratado.</w:t>
            </w:r>
          </w:p>
        </w:tc>
      </w:tr>
      <w:tr w:rsidR="00D1651D" w:rsidRPr="0083720F" w14:paraId="572C4941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6973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Crédito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3E84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Inadimplência ou atraso de pagamentos pelo contratante.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0A59" w14:textId="77777777" w:rsidR="00D1651D" w:rsidRPr="0083720F" w:rsidRDefault="00D1651D" w:rsidP="00D1651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Problemas de liquidez da contratada.</w:t>
            </w:r>
          </w:p>
          <w:p w14:paraId="5411BB3E" w14:textId="77777777" w:rsidR="00D1651D" w:rsidRPr="0083720F" w:rsidRDefault="00D1651D" w:rsidP="00D1651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Eventual paralisação dos </w:t>
            </w:r>
            <w:r w:rsidR="00211CA8"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fornecimentos</w:t>
            </w: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  <w:p w14:paraId="47491B3B" w14:textId="77777777" w:rsidR="00D1651D" w:rsidRPr="0083720F" w:rsidRDefault="00D1651D" w:rsidP="00D1651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Eventual aumento do custo com atualizações financeiras.</w:t>
            </w:r>
          </w:p>
          <w:p w14:paraId="5AA67AE0" w14:textId="77777777" w:rsidR="00D1651D" w:rsidRPr="0083720F" w:rsidRDefault="00D1651D" w:rsidP="00D1651D">
            <w:pPr>
              <w:pStyle w:val="PargrafodaLista"/>
              <w:spacing w:after="0" w:line="240" w:lineRule="auto"/>
              <w:ind w:left="20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D86A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Adequada gestão orçamentária e financeira pelo órgão contratante.</w:t>
            </w:r>
          </w:p>
          <w:p w14:paraId="7DAF29B4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3DFDE5E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Cláusula prevendo que o contratado pode suspender os </w:t>
            </w:r>
            <w:r w:rsidR="0073633E"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fornecimentos</w:t>
            </w: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após inadimplência superior a três meses.</w:t>
            </w:r>
          </w:p>
          <w:p w14:paraId="7E629F46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28854C8C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Cláusula prevendo o pagamento de atualização financeira sobre as faturas em atraso.</w:t>
            </w:r>
          </w:p>
          <w:p w14:paraId="1CD6641D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67CB6A6C" w14:textId="77777777" w:rsidR="00D1651D" w:rsidRPr="0083720F" w:rsidRDefault="0073633E" w:rsidP="007363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Prorrogação da Ordem de Fornecimento</w:t>
            </w:r>
            <w:r w:rsidR="00D1651D"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B2CA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Contratante, que arcará com a atualização financeira prevista em contrato no caso de o atraso nos pagamentos superar os 30 dias.</w:t>
            </w:r>
          </w:p>
          <w:p w14:paraId="0BDDA509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  <w:p w14:paraId="5110FFD8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Também haverá prorrogação do prazo se o período de inadimplência superar os 90 dias.</w:t>
            </w:r>
          </w:p>
          <w:p w14:paraId="1433ED6F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  <w:p w14:paraId="27287C10" w14:textId="77777777" w:rsidR="00D1651D" w:rsidRPr="0083720F" w:rsidRDefault="00D1651D" w:rsidP="00D1651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</w:tr>
      <w:tr w:rsidR="00F85446" w:rsidRPr="0083720F" w14:paraId="2FAAEAFE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1B7A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2017E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Prejuízos causados por subcontratados.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275F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Aumento dos custos ou descumprimento dos prazos contratuais.</w:t>
            </w:r>
          </w:p>
          <w:p w14:paraId="3A33573B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Eventual necessidade de reparar danos causados.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6459A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Previsão contratual de aplicação de penalidades.</w:t>
            </w:r>
          </w:p>
          <w:p w14:paraId="2BC9169D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br/>
              <w:t>Exigência de seguro.</w:t>
            </w:r>
          </w:p>
          <w:p w14:paraId="5C754D90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  <w:p w14:paraId="1B2D86EC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Exigência de requisitos adequados de habilitação dos licitantes.</w:t>
            </w:r>
          </w:p>
          <w:p w14:paraId="3C9DDE02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F5AB724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Avaliação, pela equipe de fiscalização, dos pedidos de subcontratação formulados pelo contratado.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8D56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Risco exclusivo do contratado.</w:t>
            </w:r>
          </w:p>
        </w:tc>
      </w:tr>
      <w:tr w:rsidR="00F85446" w:rsidRPr="0083720F" w14:paraId="6AE403E6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5E871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lastRenderedPageBreak/>
              <w:t>Operacional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30C8B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Ocorrência de greves ou manifestações de empregados da própria estatal contratante que possam ser caracterizadas como fato da administração.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1400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Atraso no fornecimento.</w:t>
            </w:r>
          </w:p>
          <w:p w14:paraId="440D263B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Aumento de custos.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844B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Pagamento de atualização financeira sobre as faturas em atraso.</w:t>
            </w:r>
          </w:p>
          <w:p w14:paraId="28600970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756DF83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Reequilíbrio econômico-financeiro do contrato.</w:t>
            </w:r>
          </w:p>
          <w:p w14:paraId="2AC9658E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B49BE93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Prorrogação contratual.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B38B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Risco do contratante, prorrogará o contrato de fornecimento e celebrará o aditamento do contrato recompondo o seu reequilíbrio econômico-financeiro.</w:t>
            </w:r>
          </w:p>
          <w:p w14:paraId="2C94A06E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5CDB79FF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Haverá pagamento de atualização financeira das faturas liquidadas com mais de 30 dias de atraso, sem o prejuízo de o contratado suspender o fornecimento se o atraso nos pagamentos se prolongar para além de 90 dias.</w:t>
            </w:r>
          </w:p>
        </w:tc>
      </w:tr>
      <w:tr w:rsidR="00F85446" w:rsidRPr="0083720F" w14:paraId="5ED9C549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8DB5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3C0A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Alteração da legislação, regulamentos e normas que causem novos encargos ou obrigações ao contratado.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6F299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Aumento dos custos operacionais.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9C70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721F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Contratante, que poderá aditar o contrato, recompondo o seu equilíbrio econômico-financeiro.</w:t>
            </w:r>
          </w:p>
        </w:tc>
      </w:tr>
      <w:tr w:rsidR="00F85446" w:rsidRPr="0083720F" w14:paraId="126B1E7A" w14:textId="77777777" w:rsidTr="00F61D37">
        <w:trPr>
          <w:trHeight w:val="231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59EF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Liquidez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0C8D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Restrição orçamentária e/ou financeira do órgão contratante.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5830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Atraso ou paralisação dos fornecimentos.</w:t>
            </w:r>
          </w:p>
          <w:p w14:paraId="7CF2F08B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Possível inadimplência no pagamento dos </w:t>
            </w:r>
            <w:r w:rsidR="009205B3"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fornecimentos já executados.</w:t>
            </w:r>
          </w:p>
          <w:p w14:paraId="0F02ECCD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Atraso na emissão de empenhos.</w:t>
            </w:r>
          </w:p>
          <w:p w14:paraId="7E4321F3" w14:textId="77777777" w:rsidR="00F85446" w:rsidRPr="0083720F" w:rsidRDefault="00F85446" w:rsidP="00F85446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Atraso na assinatura de contratos </w:t>
            </w:r>
          </w:p>
          <w:p w14:paraId="707A714B" w14:textId="77777777" w:rsidR="00F85446" w:rsidRPr="0083720F" w:rsidRDefault="00F85446" w:rsidP="009205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3A91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Adequada gestão orçamentária e financeira.</w:t>
            </w:r>
          </w:p>
          <w:p w14:paraId="0E288AF2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4671738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Prorrogação de prazo contratual.</w:t>
            </w:r>
          </w:p>
          <w:p w14:paraId="41F286C0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10285190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Reequilíbrio econômico-financeiro do contrato.</w:t>
            </w:r>
          </w:p>
          <w:p w14:paraId="75CDC4AC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1FEDFA3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Observância da ordem cronológica de pagamentos.</w:t>
            </w:r>
          </w:p>
          <w:p w14:paraId="59D65272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E25BE5A" w14:textId="77777777" w:rsidR="00F85446" w:rsidRPr="0083720F" w:rsidRDefault="00F85446" w:rsidP="009205B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3B7D" w14:textId="77777777" w:rsidR="00F85446" w:rsidRPr="0083720F" w:rsidRDefault="00F85446" w:rsidP="00F854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83720F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Risco do contratante, que prorrogará o contrato.</w:t>
            </w:r>
          </w:p>
        </w:tc>
      </w:tr>
    </w:tbl>
    <w:p w14:paraId="7F2CE3BF" w14:textId="77777777" w:rsidR="009D5854" w:rsidRPr="0083720F" w:rsidRDefault="009D5854">
      <w:pPr>
        <w:rPr>
          <w:sz w:val="18"/>
          <w:szCs w:val="18"/>
        </w:rPr>
      </w:pPr>
    </w:p>
    <w:sectPr w:rsidR="009D5854" w:rsidRPr="0083720F" w:rsidSect="0083720F">
      <w:headerReference w:type="default" r:id="rId7"/>
      <w:pgSz w:w="16838" w:h="11906" w:orient="landscape"/>
      <w:pgMar w:top="1134" w:right="1418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3B066" w14:textId="77777777" w:rsidR="004A5441" w:rsidRDefault="004A5441" w:rsidP="004A5441">
      <w:pPr>
        <w:spacing w:after="0" w:line="240" w:lineRule="auto"/>
      </w:pPr>
      <w:r>
        <w:separator/>
      </w:r>
    </w:p>
  </w:endnote>
  <w:endnote w:type="continuationSeparator" w:id="0">
    <w:p w14:paraId="473A9E5E" w14:textId="77777777" w:rsidR="004A5441" w:rsidRDefault="004A5441" w:rsidP="004A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D6BCA" w14:textId="77777777" w:rsidR="004A5441" w:rsidRDefault="004A5441" w:rsidP="004A5441">
      <w:pPr>
        <w:spacing w:after="0" w:line="240" w:lineRule="auto"/>
      </w:pPr>
      <w:r>
        <w:separator/>
      </w:r>
    </w:p>
  </w:footnote>
  <w:footnote w:type="continuationSeparator" w:id="0">
    <w:p w14:paraId="6932C146" w14:textId="77777777" w:rsidR="004A5441" w:rsidRDefault="004A5441" w:rsidP="004A5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643" w:type="dxa"/>
      <w:jc w:val="center"/>
      <w:tblLook w:val="04A0" w:firstRow="1" w:lastRow="0" w:firstColumn="1" w:lastColumn="0" w:noHBand="0" w:noVBand="1"/>
    </w:tblPr>
    <w:tblGrid>
      <w:gridCol w:w="2974"/>
      <w:gridCol w:w="385"/>
      <w:gridCol w:w="8284"/>
    </w:tblGrid>
    <w:tr w:rsidR="004A5441" w:rsidRPr="006E1FC2" w14:paraId="051C6BA3" w14:textId="77777777" w:rsidTr="005323F5">
      <w:trPr>
        <w:trHeight w:val="113"/>
        <w:jc w:val="center"/>
      </w:trPr>
      <w:tc>
        <w:tcPr>
          <w:tcW w:w="2974" w:type="dxa"/>
          <w:vAlign w:val="center"/>
        </w:tcPr>
        <w:p w14:paraId="41A2524A" w14:textId="77777777" w:rsidR="004A5441" w:rsidRPr="006E1FC2" w:rsidRDefault="004A5441" w:rsidP="004A5441">
          <w:pPr>
            <w:pStyle w:val="Cabealho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  <w:lang w:eastAsia="pt-BR"/>
            </w:rPr>
            <w:drawing>
              <wp:inline distT="0" distB="0" distL="0" distR="0" wp14:anchorId="2E59EE3C" wp14:editId="4B15391B">
                <wp:extent cx="1658675" cy="456565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4484" cy="458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Align w:val="center"/>
        </w:tcPr>
        <w:p w14:paraId="0B3BB841" w14:textId="77777777" w:rsidR="004A5441" w:rsidRPr="006E1FC2" w:rsidRDefault="004A5441" w:rsidP="004A5441">
          <w:pPr>
            <w:pStyle w:val="Cabealho"/>
            <w:ind w:right="69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284" w:type="dxa"/>
          <w:vAlign w:val="center"/>
        </w:tcPr>
        <w:p w14:paraId="0D184126" w14:textId="2BABF5DC" w:rsidR="004A5441" w:rsidRPr="006A0B00" w:rsidRDefault="004C3AFC" w:rsidP="004A5441">
          <w:pPr>
            <w:pStyle w:val="Cabealho"/>
            <w:ind w:hanging="131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338B917" wp14:editId="6B440620">
                    <wp:simplePos x="0" y="0"/>
                    <wp:positionH relativeFrom="column">
                      <wp:posOffset>4201160</wp:posOffset>
                    </wp:positionH>
                    <wp:positionV relativeFrom="paragraph">
                      <wp:posOffset>-657860</wp:posOffset>
                    </wp:positionV>
                    <wp:extent cx="45085" cy="45085"/>
                    <wp:effectExtent l="0" t="0" r="0" b="0"/>
                    <wp:wrapNone/>
                    <wp:docPr id="60463707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218F94" w14:textId="77777777" w:rsidR="004A5441" w:rsidRPr="00BF3C27" w:rsidRDefault="004A5441" w:rsidP="004A5441">
                                <w:pPr>
                                  <w:pBdr>
                                    <w:top w:val="single" w:sz="4" w:space="1" w:color="auto"/>
                                  </w:pBdr>
                                  <w:jc w:val="center"/>
                                  <w:rPr>
                                    <w:rFonts w:ascii="Times New Roman" w:hAnsi="Times New Roman"/>
                                    <w:color w:val="000000"/>
                                    <w:sz w:val="18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338B9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330.8pt;margin-top:-51.8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" stroked="f" strokecolor="gray" strokeweight=".25pt">
                    <v:textbox>
                      <w:txbxContent>
                        <w:p w14:paraId="72218F94" w14:textId="77777777" w:rsidR="004A5441" w:rsidRPr="00BF3C27" w:rsidRDefault="004A5441" w:rsidP="004A5441">
                          <w:pPr>
                            <w:pBdr>
                              <w:top w:val="single" w:sz="4" w:space="1" w:color="auto"/>
                            </w:pBdr>
                            <w:jc w:val="center"/>
                            <w:rPr>
                              <w:rFonts w:ascii="Times New Roman" w:hAnsi="Times New Roman"/>
                              <w:color w:val="000000"/>
                              <w:sz w:val="18"/>
                              <w:szCs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4A5441">
            <w:rPr>
              <w:rFonts w:ascii="Times New Roman" w:hAnsi="Times New Roman"/>
              <w:b/>
            </w:rPr>
            <w:t xml:space="preserve"> </w:t>
          </w:r>
          <w:r w:rsidR="004A5441" w:rsidRPr="006A0B00">
            <w:rPr>
              <w:rFonts w:ascii="Times New Roman" w:hAnsi="Times New Roman"/>
              <w:b/>
              <w:sz w:val="24"/>
              <w:szCs w:val="24"/>
            </w:rPr>
            <w:t>Ministério da Integração e do Desenvolvimento Regional – MIDR</w:t>
          </w:r>
        </w:p>
        <w:p w14:paraId="768816BC" w14:textId="77777777" w:rsidR="004A5441" w:rsidRPr="006A0B00" w:rsidRDefault="004A5441" w:rsidP="004A5441">
          <w:pPr>
            <w:pStyle w:val="Cabealho"/>
            <w:ind w:hanging="131"/>
            <w:rPr>
              <w:rFonts w:ascii="Times New Roman" w:hAnsi="Times New Roman"/>
              <w:bCs/>
              <w:sz w:val="19"/>
              <w:szCs w:val="19"/>
            </w:rPr>
          </w:pPr>
          <w:r>
            <w:rPr>
              <w:rFonts w:ascii="Times New Roman" w:hAnsi="Times New Roman"/>
              <w:b/>
              <w:sz w:val="19"/>
              <w:szCs w:val="19"/>
            </w:rPr>
            <w:t xml:space="preserve"> </w:t>
          </w:r>
          <w:r w:rsidRPr="006A0B00">
            <w:rPr>
              <w:rFonts w:ascii="Times New Roman" w:hAnsi="Times New Roman"/>
              <w:bCs/>
              <w:sz w:val="19"/>
              <w:szCs w:val="19"/>
            </w:rPr>
            <w:t>Companhia de Desenvolvimento dos Vales do São Francisco e do Parnaíba</w:t>
          </w:r>
        </w:p>
        <w:p w14:paraId="5DDD1285" w14:textId="77777777" w:rsidR="004A5441" w:rsidRPr="006E1FC2" w:rsidRDefault="004A5441" w:rsidP="004A5441">
          <w:pPr>
            <w:pStyle w:val="Cabealho"/>
            <w:ind w:hanging="131"/>
            <w:rPr>
              <w:rFonts w:ascii="Times New Roman" w:hAnsi="Times New Roman"/>
              <w:b/>
              <w:sz w:val="20"/>
              <w:szCs w:val="20"/>
            </w:rPr>
          </w:pPr>
          <w:r w:rsidRPr="006A0B00">
            <w:rPr>
              <w:rFonts w:ascii="Times New Roman" w:hAnsi="Times New Roman"/>
              <w:bCs/>
              <w:sz w:val="19"/>
              <w:szCs w:val="19"/>
            </w:rPr>
            <w:t xml:space="preserve"> 2ª Superintendência Regional</w:t>
          </w:r>
        </w:p>
      </w:tc>
    </w:tr>
  </w:tbl>
  <w:p w14:paraId="546825CC" w14:textId="77777777" w:rsidR="004A5441" w:rsidRDefault="004A544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3B78B8"/>
    <w:multiLevelType w:val="hybridMultilevel"/>
    <w:tmpl w:val="881AE046"/>
    <w:lvl w:ilvl="0" w:tplc="0416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 w16cid:durableId="210312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1C8"/>
    <w:rsid w:val="0000790B"/>
    <w:rsid w:val="00013EA1"/>
    <w:rsid w:val="00055280"/>
    <w:rsid w:val="001925CC"/>
    <w:rsid w:val="00211CA8"/>
    <w:rsid w:val="0026270E"/>
    <w:rsid w:val="00333248"/>
    <w:rsid w:val="003552ED"/>
    <w:rsid w:val="003A4AE2"/>
    <w:rsid w:val="003B406D"/>
    <w:rsid w:val="004461AC"/>
    <w:rsid w:val="004A5441"/>
    <w:rsid w:val="004C3AFC"/>
    <w:rsid w:val="004D528F"/>
    <w:rsid w:val="004E1538"/>
    <w:rsid w:val="00501C52"/>
    <w:rsid w:val="00537EB9"/>
    <w:rsid w:val="005467CD"/>
    <w:rsid w:val="005D0248"/>
    <w:rsid w:val="005F53E0"/>
    <w:rsid w:val="00656EC3"/>
    <w:rsid w:val="0073633E"/>
    <w:rsid w:val="0083720F"/>
    <w:rsid w:val="009205B3"/>
    <w:rsid w:val="00957813"/>
    <w:rsid w:val="009D5854"/>
    <w:rsid w:val="00B97121"/>
    <w:rsid w:val="00C21907"/>
    <w:rsid w:val="00C46922"/>
    <w:rsid w:val="00C62EFA"/>
    <w:rsid w:val="00C91C0F"/>
    <w:rsid w:val="00C95603"/>
    <w:rsid w:val="00CA24BC"/>
    <w:rsid w:val="00D06D07"/>
    <w:rsid w:val="00D1651D"/>
    <w:rsid w:val="00D54E79"/>
    <w:rsid w:val="00D7598F"/>
    <w:rsid w:val="00DA71C0"/>
    <w:rsid w:val="00E831C8"/>
    <w:rsid w:val="00EA1076"/>
    <w:rsid w:val="00F3145F"/>
    <w:rsid w:val="00F61D37"/>
    <w:rsid w:val="00F72660"/>
    <w:rsid w:val="00F778B6"/>
    <w:rsid w:val="00F83486"/>
    <w:rsid w:val="00F85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ABF7D1"/>
  <w15:docId w15:val="{D762CE36-1FEA-4AF5-A637-B31B20854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83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831C8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957813"/>
    <w:rPr>
      <w:i/>
      <w:iCs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4A54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4A5441"/>
  </w:style>
  <w:style w:type="paragraph" w:styleId="Rodap">
    <w:name w:val="footer"/>
    <w:basedOn w:val="Normal"/>
    <w:link w:val="RodapChar"/>
    <w:uiPriority w:val="99"/>
    <w:unhideWhenUsed/>
    <w:rsid w:val="004A54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A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881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Helio de Sousa Carvalho</dc:creator>
  <cp:keywords/>
  <dc:description/>
  <cp:lastModifiedBy>Helton Pereira Paiva da Cruz</cp:lastModifiedBy>
  <cp:revision>2</cp:revision>
  <dcterms:created xsi:type="dcterms:W3CDTF">2023-10-24T18:55:00Z</dcterms:created>
  <dcterms:modified xsi:type="dcterms:W3CDTF">2023-10-24T18:55:00Z</dcterms:modified>
</cp:coreProperties>
</file>