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  <w:r>
        <w:rPr>
          <w:rFonts w:hint="default" w:ascii="Arial" w:hAnsi="Arial" w:cs="Arial"/>
          <w:b/>
          <w:bCs/>
          <w:sz w:val="22"/>
          <w:szCs w:val="22"/>
          <w:lang w:val="pt-BR"/>
        </w:rPr>
        <w:t>ANEXO VII: MATRIZ DE RISCOS</w:t>
      </w:r>
    </w:p>
    <w:p>
      <w:pPr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numPr>
          <w:ilvl w:val="0"/>
          <w:numId w:val="0"/>
        </w:numPr>
        <w:jc w:val="both"/>
        <w:rPr>
          <w:rFonts w:hint="default" w:ascii="Arial" w:hAnsi="Arial"/>
          <w:b/>
          <w:bCs/>
          <w:i w:val="0"/>
          <w:iCs w:val="0"/>
          <w:sz w:val="20"/>
          <w:szCs w:val="20"/>
          <w:lang w:val="pt-BR"/>
        </w:rPr>
      </w:pPr>
      <w:r>
        <w:rPr>
          <w:rFonts w:hint="default" w:ascii="Arial" w:hAnsi="Arial"/>
          <w:b/>
          <w:bCs/>
          <w:i w:val="0"/>
          <w:iCs w:val="0"/>
          <w:sz w:val="20"/>
          <w:szCs w:val="20"/>
          <w:lang w:val="pt-BR"/>
        </w:rPr>
        <w:t>CONTRATAÇÃO DE SERVIÇOS DE ENGENHARIA PARA EXECUÇÃO</w:t>
      </w:r>
      <w:bookmarkStart w:id="0" w:name="_GoBack"/>
      <w:bookmarkEnd w:id="0"/>
      <w:r>
        <w:rPr>
          <w:rFonts w:hint="default" w:ascii="Arial" w:hAnsi="Arial"/>
          <w:b/>
          <w:bCs/>
          <w:i w:val="0"/>
          <w:iCs w:val="0"/>
          <w:sz w:val="20"/>
          <w:szCs w:val="20"/>
          <w:lang w:val="pt-BR"/>
        </w:rPr>
        <w:t xml:space="preserve"> DE PÁTIOS PARA MÚLTIPLOS USOS, SEM COBERTURA, EM DIVERSOS MUNICÍPIOS NA ÁREA DE ATUAÇÃO DA 2ª SUPERINTENDÊNCIA REGIONAL DA CODEVASF, NO ESTADO DA BAHIA.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i w:val="0"/>
          <w:iCs w:val="0"/>
          <w:sz w:val="22"/>
          <w:szCs w:val="22"/>
          <w:lang w:val="pt-BR"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rPr>
          <w:rFonts w:hint="default" w:ascii="Arial" w:hAnsi="Arial" w:cs="Arial"/>
          <w:b/>
          <w:bCs/>
          <w:i/>
          <w:iCs/>
        </w:rPr>
      </w:pPr>
    </w:p>
    <w:p>
      <w:pPr>
        <w:jc w:val="center"/>
        <w:rPr>
          <w:rFonts w:hint="default" w:ascii="Arial" w:hAnsi="Arial" w:cs="Arial"/>
          <w:b/>
          <w:bCs/>
          <w:i w:val="0"/>
          <w:iCs w:val="0"/>
          <w:lang w:val="pt-BR"/>
        </w:rPr>
      </w:pPr>
      <w:r>
        <w:rPr>
          <w:rFonts w:hint="default" w:ascii="Arial" w:hAnsi="Arial" w:cs="Arial"/>
          <w:b/>
          <w:bCs/>
          <w:i w:val="0"/>
          <w:iCs w:val="0"/>
          <w:lang w:val="pt-BR"/>
        </w:rPr>
        <w:t>OUTUBRO/2023</w:t>
      </w:r>
    </w:p>
    <w:p>
      <w:pPr>
        <w:rPr>
          <w:rFonts w:hint="default" w:ascii="Arial" w:hAnsi="Arial" w:cs="Arial"/>
          <w:b/>
          <w:bCs/>
          <w:i w:val="0"/>
          <w:iCs w:val="0"/>
          <w:lang w:val="pt-BR"/>
        </w:rPr>
      </w:pPr>
      <w:r>
        <w:rPr>
          <w:rFonts w:hint="default" w:ascii="Arial" w:hAnsi="Arial" w:cs="Arial"/>
          <w:b/>
          <w:bCs/>
          <w:i w:val="0"/>
          <w:iCs w:val="0"/>
          <w:lang w:val="pt-BR"/>
        </w:rPr>
        <w:br w:type="page"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3042"/>
        <w:gridCol w:w="3250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vertAlign w:val="baseline"/>
                <w:lang w:val="pt-BR"/>
              </w:rPr>
              <w:t>MATRIZ DE RISCOS:</w:t>
            </w:r>
          </w:p>
          <w:p>
            <w:pPr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vertAlign w:val="baseline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/>
              </w:rPr>
              <w:t>Item de serviço</w:t>
            </w:r>
          </w:p>
        </w:tc>
        <w:tc>
          <w:tcPr>
            <w:tcW w:w="3250" w:type="dxa"/>
            <w:shd w:val="clear" w:color="auto" w:fill="DEEBF6" w:themeFill="accent1" w:themeFillTint="3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/>
              </w:rPr>
              <w:t>Riscos associados</w:t>
            </w:r>
          </w:p>
        </w:tc>
        <w:tc>
          <w:tcPr>
            <w:tcW w:w="1656" w:type="dxa"/>
            <w:shd w:val="clear" w:color="auto" w:fill="DEEBF6" w:themeFill="accent1" w:themeFillTint="3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/>
              </w:rPr>
              <w:t>Competência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F1F1F1" w:themeFill="background1" w:themeFillShade="F2"/>
          </w:tcPr>
          <w:p>
            <w:pPr>
              <w:jc w:val="left"/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/>
              </w:rPr>
              <w:t>1</w:t>
            </w:r>
          </w:p>
        </w:tc>
        <w:tc>
          <w:tcPr>
            <w:tcW w:w="7948" w:type="dxa"/>
            <w:gridSpan w:val="3"/>
            <w:shd w:val="clear" w:color="auto" w:fill="F1F1F1" w:themeFill="background1" w:themeFillShade="F2"/>
          </w:tcPr>
          <w:p>
            <w:pPr>
              <w:jc w:val="left"/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/>
              </w:rPr>
              <w:t>Projeto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Modificação do projeto no transcorrer da obra por solicitação da Codevasf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Aumento de custos;</w:t>
            </w: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Necessidade de novos materiais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Codevasf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Estimativa incorreta de prazo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 xml:space="preserve">Atraso na entrega; </w:t>
            </w: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Aumento do custo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Custo dos insumos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Inflação/flutuação de câmbio;</w:t>
            </w: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Aumentos desproporcioanis de custo dos insumos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color w:val="FF000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vertAlign w:val="baseline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vertAlign w:val="baseline"/>
                <w:lang w:val="pt-BR"/>
                <w14:textFill>
                  <w14:solidFill>
                    <w14:schemeClr w14:val="tx1"/>
                  </w14:solidFill>
                </w14:textFill>
              </w:rPr>
              <w:t>Ajustes de projeto para provimento adequado dos serviços na qualidade e especificação exigida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vertAlign w:val="baseline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vertAlign w:val="baseline"/>
                <w:lang w:val="pt-BR"/>
                <w14:textFill>
                  <w14:solidFill>
                    <w14:schemeClr w14:val="tx1"/>
                  </w14:solidFill>
                </w14:textFill>
              </w:rPr>
              <w:t>Aumento dos custos de implantação;</w:t>
            </w: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vertAlign w:val="baseline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vertAlign w:val="baseline"/>
                <w:lang w:val="pt-BR"/>
                <w14:textFill>
                  <w14:solidFill>
                    <w14:schemeClr w14:val="tx1"/>
                  </w14:solidFill>
                </w14:textFill>
              </w:rPr>
              <w:t>Inadequação dos serviços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vertAlign w:val="baseline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vertAlign w:val="baseline"/>
                <w:lang w:val="pt-BR"/>
                <w14:textFill>
                  <w14:solidFill>
                    <w14:schemeClr w14:val="tx1"/>
                  </w14:solidFill>
                </w14:textFill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2</w:t>
            </w:r>
          </w:p>
        </w:tc>
        <w:tc>
          <w:tcPr>
            <w:tcW w:w="7948" w:type="dxa"/>
            <w:gridSpan w:val="3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Mobilização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Atraso na mobilização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Não atendimento por parte do contratado dos requisitos contratuais na fase de mobilização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Insumos e materiais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Indisponibilidade de insumos e materiais para início da obra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Licenças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 xml:space="preserve">Descumprimento das condicionantes da licença ambiental e/ou dos requisitos técnicos dos órgãos envolvidos </w:t>
            </w:r>
            <w:r>
              <w:rPr>
                <w:rFonts w:hint="default" w:ascii="Arial" w:hAnsi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(Prefeitura, órgão ambiental, DNIT, IPHAN, DER, etc.)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3</w:t>
            </w:r>
          </w:p>
        </w:tc>
        <w:tc>
          <w:tcPr>
            <w:tcW w:w="7948" w:type="dxa"/>
            <w:gridSpan w:val="3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Terraplenagem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Limpeza do terreno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Volume de material de limpeza não previsto no projeto básico, com carga, transporte e disposição/espalhamento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Escavação e movimentação de terra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Volume não previsto no Projeto Básico;</w:t>
            </w: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Alterações no momento de transporte, e no quantitativo de Escavação, Carga, Transporte, Bota-fora de material e Espalhamento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Perda de Serviços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Refazimento de serviços conclusos e/ou bloqueados, perdidos por questões climáticas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Detecção de nível de lençol freático diverso do previsto.</w:t>
            </w:r>
          </w:p>
        </w:tc>
        <w:tc>
          <w:tcPr>
            <w:tcW w:w="3250" w:type="dxa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Necessidade de realizar ou de alterar o método de esgotamento da vala ou de execução de fundações ou escavações, com a consequente modificação do custo de execução.</w:t>
            </w:r>
          </w:p>
        </w:tc>
        <w:tc>
          <w:tcPr>
            <w:tcW w:w="1656" w:type="dxa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Alteração do comprimento ou volume das fundações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Modificação do cronograma e/ou do custo de execução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Detecção de condições geológicas que ensejem a alteração da solução das fundações previstas no anteprojeto ou projeto básico.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Modificação do cronograma e/ou do custo de execução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Codevasf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Patrimônio Arqueológico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Custos e atrasos com descobertas arqueológicas ou outras interferências com patrimônio cultural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4</w:t>
            </w:r>
          </w:p>
        </w:tc>
        <w:tc>
          <w:tcPr>
            <w:tcW w:w="7948" w:type="dxa"/>
            <w:gridSpan w:val="3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Estrutura da Quadra Poliesporta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Insumos e materiais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Fornecimento de insusmos e/ou equipamentos pelo contratado que não atendam às especificações da Codevasf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Disponibilidade de materiais móveis (traves oficiais, tabelas de Basquete, Rede para vôlei profissonal, Alambrado para quadra poliesportiva) para entrega na região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Aumento no prazo de execução da obra;</w:t>
            </w: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Prejuízo na qualidade final do serviço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Disponibilidade de materiais de construção essenciais à obra para entrega na região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Aumento no prazo de execução da obra;</w:t>
            </w: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Prejuízo na qualidade final do serviço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Perda ou perecimento de materiais de construção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Perda ou perecimento de materiais de construção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Prejuízos causados por subcontratados.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Aumento dos custos ou descumprimento dos prazos contratuais;</w:t>
            </w: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Eventual necessidade de reparar danos causados a outras instalações do contratante ou de terceiros.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5</w:t>
            </w:r>
          </w:p>
        </w:tc>
        <w:tc>
          <w:tcPr>
            <w:tcW w:w="7948" w:type="dxa"/>
            <w:gridSpan w:val="3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Interferências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5"/>
              </w:num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Linhas de energia (redes de alta e baixa tensão), telecomunicações e saneamento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Necessidade de remanejar interferências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Codevasf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6</w:t>
            </w:r>
          </w:p>
        </w:tc>
        <w:tc>
          <w:tcPr>
            <w:tcW w:w="7948" w:type="dxa"/>
            <w:gridSpan w:val="3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Meio Ambiente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6"/>
              </w:num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Licenciamento ambiental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Aumento de custos para atendimento da legislação ambiental;</w:t>
            </w:r>
          </w:p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Atraso na obra para atendimento da legislação ambiental.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6"/>
              </w:num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Descarte inadequado de resíduos perigosos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Custos de multas ou ações civis públicas por descarte inadequado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7</w:t>
            </w:r>
          </w:p>
        </w:tc>
        <w:tc>
          <w:tcPr>
            <w:tcW w:w="7948" w:type="dxa"/>
            <w:gridSpan w:val="3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Demais Serviços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</w:p>
        </w:tc>
        <w:tc>
          <w:tcPr>
            <w:tcW w:w="3042" w:type="dxa"/>
            <w:vAlign w:val="top"/>
          </w:tcPr>
          <w:p>
            <w:pPr>
              <w:numPr>
                <w:ilvl w:val="0"/>
                <w:numId w:val="7"/>
              </w:num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Ajuste de escopo</w:t>
            </w:r>
          </w:p>
        </w:tc>
        <w:tc>
          <w:tcPr>
            <w:tcW w:w="3250" w:type="dxa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Adequação no escopo da contratação</w:t>
            </w:r>
          </w:p>
        </w:tc>
        <w:tc>
          <w:tcPr>
            <w:tcW w:w="1656" w:type="dxa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Codevasf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8</w:t>
            </w:r>
          </w:p>
        </w:tc>
        <w:tc>
          <w:tcPr>
            <w:tcW w:w="7948" w:type="dxa"/>
            <w:gridSpan w:val="3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Limpeza Geral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</w:p>
        </w:tc>
        <w:tc>
          <w:tcPr>
            <w:tcW w:w="3042" w:type="dxa"/>
            <w:vAlign w:val="top"/>
          </w:tcPr>
          <w:p>
            <w:pPr>
              <w:numPr>
                <w:ilvl w:val="0"/>
                <w:numId w:val="8"/>
              </w:num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  <w:t>Limpeza de Terreno</w:t>
            </w:r>
          </w:p>
        </w:tc>
        <w:tc>
          <w:tcPr>
            <w:tcW w:w="3250" w:type="dxa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Acréscimo de volume em decorrência de material depositado e/ou encontrado durante a vigência do contrato</w:t>
            </w:r>
          </w:p>
        </w:tc>
        <w:tc>
          <w:tcPr>
            <w:tcW w:w="1656" w:type="dxa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9</w:t>
            </w:r>
          </w:p>
        </w:tc>
        <w:tc>
          <w:tcPr>
            <w:tcW w:w="7948" w:type="dxa"/>
            <w:gridSpan w:val="3"/>
            <w:shd w:val="clear" w:color="auto" w:fill="E7E6E6" w:themeFill="background2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0"/>
                <w:szCs w:val="20"/>
                <w:vertAlign w:val="baseline"/>
                <w:lang w:val="pt-BR" w:eastAsia="zh-CN" w:bidi="ar-SA"/>
              </w:rPr>
              <w:t>Gerais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9"/>
              </w:num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Greve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Ocorrência de greve de funcionários da empresa contratada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Caso fortuito, força maior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Situações de obra que configurem caso fortuito ou força maior como enxurradas, escorregamentos, desabamentos e enchentes causadas por eventos climáticos atípicos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Codevasf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Roubo, furto, vandalismo, depredações, perdas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Custos adicionais causados por roubo, furto, vandalismo, depredação ou perda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Segurança no trabalho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Acidentes de trabalho levando a interrupção ou paralização de obras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Legislação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Alterações na legislação ou outras normas que impliquem em aumento de custos ou diminuição de faturamento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Codevasf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Anulação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Anulação do contrato por vícios insanáveis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  <w:vAlign w:val="top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Danos causados a infraestrutura de terceiros e de órgãos públicos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Custos de indenização, multa ou reparo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</w:p>
        </w:tc>
        <w:tc>
          <w:tcPr>
            <w:tcW w:w="3042" w:type="dxa"/>
            <w:vAlign w:val="top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default" w:ascii="Arial" w:hAnsi="Arial" w:cs="Arial" w:eastAsiaTheme="minorEastAsia"/>
                <w:b w:val="0"/>
                <w:bCs w:val="0"/>
                <w:sz w:val="20"/>
                <w:szCs w:val="20"/>
                <w:vertAlign w:val="baseline"/>
                <w:lang w:val="pt-BR" w:eastAsia="zh-CN" w:bidi="ar-SA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Ações trabalhistas</w:t>
            </w:r>
          </w:p>
        </w:tc>
        <w:tc>
          <w:tcPr>
            <w:tcW w:w="3250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Custos de condenações, pagamento de ações trabalhistas ou previdenciárias de profisionais contratados ou subcontratados</w:t>
            </w:r>
          </w:p>
        </w:tc>
        <w:tc>
          <w:tcPr>
            <w:tcW w:w="1656" w:type="dxa"/>
          </w:tcPr>
          <w:p>
            <w:pPr>
              <w:jc w:val="left"/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0"/>
                <w:szCs w:val="20"/>
                <w:vertAlign w:val="baseline"/>
                <w:lang w:val="pt-BR"/>
              </w:rPr>
              <w:t>Contratado</w:t>
            </w:r>
          </w:p>
        </w:tc>
      </w:tr>
    </w:tbl>
    <w:p>
      <w:pPr>
        <w:jc w:val="left"/>
        <w:rPr>
          <w:rFonts w:hint="default" w:ascii="Arial" w:hAnsi="Arial" w:cs="Arial"/>
          <w:b w:val="0"/>
          <w:bCs w:val="0"/>
          <w:sz w:val="20"/>
          <w:szCs w:val="20"/>
          <w:lang w:val="pt-BR"/>
        </w:rPr>
      </w:pPr>
    </w:p>
    <w:p>
      <w:pPr>
        <w:jc w:val="left"/>
        <w:rPr>
          <w:rFonts w:hint="default" w:ascii="Arial" w:hAnsi="Arial" w:cs="Arial"/>
          <w:b w:val="0"/>
          <w:bCs w:val="0"/>
          <w:sz w:val="20"/>
          <w:szCs w:val="20"/>
          <w:lang w:val="pt-BR"/>
        </w:rPr>
      </w:pPr>
    </w:p>
    <w:p>
      <w:pPr>
        <w:jc w:val="left"/>
        <w:rPr>
          <w:rFonts w:hint="default" w:ascii="Arial" w:hAnsi="Arial" w:cs="Arial"/>
          <w:b w:val="0"/>
          <w:bCs w:val="0"/>
          <w:sz w:val="20"/>
          <w:szCs w:val="20"/>
          <w:lang w:val="pt-BR"/>
        </w:rPr>
      </w:pPr>
    </w:p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imHei">
    <w:altName w:val="SimSun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0" w:type="auto"/>
      <w:jc w:val="center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974"/>
      <w:gridCol w:w="7232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13" w:hRule="atLeast"/>
        <w:jc w:val="center"/>
      </w:trPr>
      <w:tc>
        <w:tcPr>
          <w:tcW w:w="2974" w:type="dxa"/>
          <w:shd w:val="clear" w:color="auto" w:fill="auto"/>
          <w:vAlign w:val="center"/>
        </w:tcPr>
        <w:p>
          <w:pPr>
            <w:pStyle w:val="6"/>
            <w:rPr>
              <w:b/>
              <w:sz w:val="28"/>
              <w:szCs w:val="28"/>
            </w:rPr>
          </w:pPr>
          <w:r>
            <w:rPr>
              <w:lang w:eastAsia="pt-BR"/>
            </w:rPr>
            <w:drawing>
              <wp:inline distT="0" distB="0" distL="0" distR="0">
                <wp:extent cx="1752600" cy="447675"/>
                <wp:effectExtent l="0" t="0" r="0" b="9525"/>
                <wp:docPr id="15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4476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>
          <w:pPr>
            <w:pStyle w:val="6"/>
            <w:rPr>
              <w:rFonts w:hint="default" w:ascii="Arial" w:hAnsi="Arial" w:cs="Arial"/>
              <w:sz w:val="18"/>
              <w:szCs w:val="18"/>
            </w:rPr>
          </w:pPr>
          <w:r>
            <w:rPr>
              <w:rFonts w:hint="default" w:ascii="Arial" w:hAnsi="Arial" w:cs="Arial"/>
              <w:b/>
              <w:sz w:val="18"/>
              <w:szCs w:val="18"/>
            </w:rPr>
            <w:t>Ministério d</w:t>
          </w:r>
          <w:r>
            <w:rPr>
              <w:rFonts w:hint="default" w:ascii="Arial" w:hAnsi="Arial" w:cs="Arial"/>
              <w:b/>
              <w:sz w:val="18"/>
              <w:szCs w:val="18"/>
              <w:lang w:val="pt-BR"/>
            </w:rPr>
            <w:t>a Integração e d</w:t>
          </w:r>
          <w:r>
            <w:rPr>
              <w:rFonts w:hint="default" w:ascii="Arial" w:hAnsi="Arial" w:cs="Arial"/>
              <w:b/>
              <w:sz w:val="18"/>
              <w:szCs w:val="18"/>
            </w:rPr>
            <w:t>o Desenvolvimento Regional - M</w:t>
          </w:r>
          <w:r>
            <w:rPr>
              <w:rFonts w:hint="default" w:ascii="Arial" w:hAnsi="Arial" w:cs="Arial"/>
              <w:b/>
              <w:sz w:val="18"/>
              <w:szCs w:val="18"/>
              <w:lang w:val="pt-BR"/>
            </w:rPr>
            <w:t>I</w:t>
          </w:r>
          <w:r>
            <w:rPr>
              <w:rFonts w:hint="default" w:ascii="Arial" w:hAnsi="Arial" w:cs="Arial"/>
              <w:b/>
              <w:sz w:val="18"/>
              <w:szCs w:val="18"/>
            </w:rPr>
            <w:t>DR</w:t>
          </w:r>
        </w:p>
        <w:p>
          <w:pPr>
            <w:pStyle w:val="6"/>
            <w:rPr>
              <w:rFonts w:hint="default" w:ascii="Arial" w:hAnsi="Arial" w:cs="Arial"/>
              <w:sz w:val="18"/>
              <w:szCs w:val="18"/>
            </w:rPr>
          </w:pPr>
          <w:r>
            <w:rPr>
              <w:rFonts w:hint="default" w:ascii="Arial" w:hAnsi="Arial" w:cs="Arial"/>
              <w:b/>
              <w:sz w:val="18"/>
              <w:szCs w:val="18"/>
            </w:rPr>
            <w:t>Companhia de Desenvolvimento dos Vales do São Francisco e do Parnaíba</w:t>
          </w:r>
        </w:p>
        <w:p>
          <w:pPr>
            <w:pStyle w:val="6"/>
            <w:rPr>
              <w:rFonts w:hint="default"/>
              <w:sz w:val="19"/>
              <w:szCs w:val="19"/>
              <w:lang w:val="pt-BR"/>
            </w:rPr>
          </w:pPr>
          <w:r>
            <w:rPr>
              <w:rFonts w:hint="default" w:ascii="Arial" w:hAnsi="Arial" w:cs="Arial"/>
              <w:b/>
              <w:sz w:val="18"/>
              <w:szCs w:val="18"/>
              <w:lang w:val="pt-BR"/>
            </w:rPr>
            <w:t>2ª Superintendência Regional da Codevasf</w:t>
          </w:r>
        </w:p>
      </w:tc>
    </w:tr>
  </w:tbl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818B4C"/>
    <w:multiLevelType w:val="singleLevel"/>
    <w:tmpl w:val="86818B4C"/>
    <w:lvl w:ilvl="0" w:tentative="0">
      <w:start w:val="1"/>
      <w:numFmt w:val="lowerLetter"/>
      <w:suff w:val="space"/>
      <w:lvlText w:val="%1)"/>
      <w:lvlJc w:val="left"/>
    </w:lvl>
  </w:abstractNum>
  <w:abstractNum w:abstractNumId="1">
    <w:nsid w:val="87D8639A"/>
    <w:multiLevelType w:val="singleLevel"/>
    <w:tmpl w:val="87D8639A"/>
    <w:lvl w:ilvl="0" w:tentative="0">
      <w:start w:val="1"/>
      <w:numFmt w:val="lowerLetter"/>
      <w:suff w:val="space"/>
      <w:lvlText w:val="%1)"/>
      <w:lvlJc w:val="left"/>
    </w:lvl>
  </w:abstractNum>
  <w:abstractNum w:abstractNumId="2">
    <w:nsid w:val="92260D7A"/>
    <w:multiLevelType w:val="singleLevel"/>
    <w:tmpl w:val="92260D7A"/>
    <w:lvl w:ilvl="0" w:tentative="0">
      <w:start w:val="1"/>
      <w:numFmt w:val="lowerLetter"/>
      <w:suff w:val="space"/>
      <w:lvlText w:val="%1)"/>
      <w:lvlJc w:val="left"/>
    </w:lvl>
  </w:abstractNum>
  <w:abstractNum w:abstractNumId="3">
    <w:nsid w:val="957CB148"/>
    <w:multiLevelType w:val="singleLevel"/>
    <w:tmpl w:val="957CB148"/>
    <w:lvl w:ilvl="0" w:tentative="0">
      <w:start w:val="1"/>
      <w:numFmt w:val="lowerLetter"/>
      <w:suff w:val="space"/>
      <w:lvlText w:val="%1)"/>
      <w:lvlJc w:val="left"/>
    </w:lvl>
  </w:abstractNum>
  <w:abstractNum w:abstractNumId="4">
    <w:nsid w:val="A8B448CA"/>
    <w:multiLevelType w:val="singleLevel"/>
    <w:tmpl w:val="A8B448CA"/>
    <w:lvl w:ilvl="0" w:tentative="0">
      <w:start w:val="1"/>
      <w:numFmt w:val="lowerLetter"/>
      <w:suff w:val="space"/>
      <w:lvlText w:val="%1)"/>
      <w:lvlJc w:val="left"/>
    </w:lvl>
  </w:abstractNum>
  <w:abstractNum w:abstractNumId="5">
    <w:nsid w:val="CD0499A6"/>
    <w:multiLevelType w:val="singleLevel"/>
    <w:tmpl w:val="CD0499A6"/>
    <w:lvl w:ilvl="0" w:tentative="0">
      <w:start w:val="1"/>
      <w:numFmt w:val="lowerLetter"/>
      <w:suff w:val="space"/>
      <w:lvlText w:val="%1)"/>
      <w:lvlJc w:val="left"/>
    </w:lvl>
  </w:abstractNum>
  <w:abstractNum w:abstractNumId="6">
    <w:nsid w:val="32A5F47F"/>
    <w:multiLevelType w:val="singleLevel"/>
    <w:tmpl w:val="32A5F47F"/>
    <w:lvl w:ilvl="0" w:tentative="0">
      <w:start w:val="1"/>
      <w:numFmt w:val="lowerLetter"/>
      <w:suff w:val="space"/>
      <w:lvlText w:val="%1)"/>
      <w:lvlJc w:val="left"/>
    </w:lvl>
  </w:abstractNum>
  <w:abstractNum w:abstractNumId="7">
    <w:nsid w:val="5224D434"/>
    <w:multiLevelType w:val="singleLevel"/>
    <w:tmpl w:val="5224D434"/>
    <w:lvl w:ilvl="0" w:tentative="0">
      <w:start w:val="1"/>
      <w:numFmt w:val="lowerLetter"/>
      <w:suff w:val="space"/>
      <w:lvlText w:val="%1)"/>
      <w:lvlJc w:val="left"/>
    </w:lvl>
  </w:abstractNum>
  <w:abstractNum w:abstractNumId="8">
    <w:nsid w:val="7682B8D8"/>
    <w:multiLevelType w:val="singleLevel"/>
    <w:tmpl w:val="7682B8D8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456AB"/>
    <w:rsid w:val="047120F9"/>
    <w:rsid w:val="0B86300A"/>
    <w:rsid w:val="121F6390"/>
    <w:rsid w:val="161D32E3"/>
    <w:rsid w:val="16490889"/>
    <w:rsid w:val="173E71F6"/>
    <w:rsid w:val="21F91F85"/>
    <w:rsid w:val="2F501FDA"/>
    <w:rsid w:val="32FF098C"/>
    <w:rsid w:val="36096403"/>
    <w:rsid w:val="38264F60"/>
    <w:rsid w:val="398E1DE2"/>
    <w:rsid w:val="3BA96212"/>
    <w:rsid w:val="3F0A537A"/>
    <w:rsid w:val="3F43088C"/>
    <w:rsid w:val="40916A27"/>
    <w:rsid w:val="435D2E66"/>
    <w:rsid w:val="4C0C0983"/>
    <w:rsid w:val="4E8844BA"/>
    <w:rsid w:val="4F5235E0"/>
    <w:rsid w:val="5699308A"/>
    <w:rsid w:val="62161CCA"/>
    <w:rsid w:val="636A06B6"/>
    <w:rsid w:val="6B4327A5"/>
    <w:rsid w:val="6C86456E"/>
    <w:rsid w:val="6D664393"/>
    <w:rsid w:val="6D893791"/>
    <w:rsid w:val="779C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semiHidden/>
    <w:unhideWhenUsed/>
    <w:qFormat/>
    <w:uiPriority w:val="0"/>
    <w:rPr>
      <w:rFonts w:ascii="Arial" w:hAnsi="Arial" w:eastAsia="SimHei" w:cs="Arial"/>
      <w:sz w:val="20"/>
    </w:rPr>
  </w:style>
  <w:style w:type="paragraph" w:styleId="5">
    <w:name w:val="footer"/>
    <w:basedOn w:val="1"/>
    <w:uiPriority w:val="0"/>
    <w:pPr>
      <w:tabs>
        <w:tab w:val="center" w:pos="4252"/>
        <w:tab w:val="right" w:pos="8504"/>
      </w:tabs>
    </w:pPr>
  </w:style>
  <w:style w:type="paragraph" w:styleId="6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table" w:styleId="7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181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2023-06-02T17:19:00Z</dcterms:created>
  <dc:creator>Jamille Almeida Brito</dc:creator>
  <cp:lastModifiedBy>Jamille Almeida Brito</cp:lastModifiedBy>
  <dcterms:modified xsi:type="dcterms:W3CDTF">2023-11-03T17:38:57Z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7C10CF825F224F688C55D3C70F8D5665</vt:lpwstr>
  </property>
</Properties>
</file>