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6" w:line="530" w:lineRule="auto"/>
        <w:ind w:left="4156" w:right="1439" w:hanging="120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ESTUDO</w:t>
      </w:r>
      <w:r>
        <w:rPr>
          <w:spacing w:val="24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TÉCNICO</w:t>
      </w:r>
      <w:r>
        <w:rPr>
          <w:spacing w:val="22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PRELIMIMAR</w:t>
      </w:r>
      <w:r>
        <w:rPr>
          <w:spacing w:val="22"/>
          <w:sz w:val="24"/>
          <w:szCs w:val="24"/>
          <w:u w:val="single"/>
        </w:rPr>
        <w:t xml:space="preserve"> </w:t>
      </w:r>
      <w:r>
        <w:rPr>
          <w:spacing w:val="22"/>
          <w:sz w:val="24"/>
          <w:szCs w:val="24"/>
          <w:u w:val="single"/>
          <w:lang w:val="pt-BR"/>
        </w:rPr>
        <w:t xml:space="preserve">- </w:t>
      </w:r>
      <w:r>
        <w:rPr>
          <w:sz w:val="24"/>
          <w:szCs w:val="24"/>
          <w:u w:val="single"/>
        </w:rPr>
        <w:t>ETP</w:t>
      </w:r>
      <w:r>
        <w:rPr>
          <w:spacing w:val="-52"/>
          <w:sz w:val="24"/>
          <w:szCs w:val="24"/>
          <w:u w:val="single"/>
        </w:rPr>
        <w:t xml:space="preserve"> </w:t>
      </w:r>
    </w:p>
    <w:p>
      <w:pPr>
        <w:pStyle w:val="7"/>
        <w:spacing w:before="12" w:beforeLines="5" w:line="360" w:lineRule="auto"/>
        <w:ind w:left="60" w:right="102" w:hanging="60" w:hangingChars="25"/>
        <w:jc w:val="both"/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>Número:</w:t>
      </w:r>
      <w:r>
        <w:rPr>
          <w:rFonts w:hint="default"/>
          <w:b/>
          <w:bCs/>
          <w:sz w:val="24"/>
          <w:szCs w:val="24"/>
          <w:lang w:val="pt-BR"/>
        </w:rPr>
        <w:t xml:space="preserve"> </w:t>
      </w:r>
      <w:r>
        <w:rPr>
          <w:rFonts w:hint="default"/>
          <w:b w:val="0"/>
          <w:bCs w:val="0"/>
          <w:sz w:val="24"/>
          <w:szCs w:val="24"/>
          <w:lang w:val="pt-BR"/>
        </w:rPr>
        <w:t>001/</w:t>
      </w:r>
      <w:r>
        <w:rPr>
          <w:b w:val="0"/>
          <w:bCs w:val="0"/>
          <w:sz w:val="24"/>
          <w:szCs w:val="24"/>
          <w:lang w:val="pt-BR"/>
        </w:rPr>
        <w:t>2023 - 5ª/CII</w:t>
      </w:r>
    </w:p>
    <w:p>
      <w:pPr>
        <w:pStyle w:val="7"/>
        <w:spacing w:before="12" w:beforeLines="5" w:line="360" w:lineRule="auto"/>
        <w:ind w:left="60" w:right="102" w:hanging="60" w:hangingChars="25"/>
        <w:jc w:val="both"/>
        <w:rPr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>Data</w:t>
      </w:r>
      <w:r>
        <w:rPr>
          <w:sz w:val="24"/>
          <w:szCs w:val="24"/>
          <w:lang w:val="pt-BR"/>
        </w:rPr>
        <w:t>: 0</w:t>
      </w:r>
      <w:r>
        <w:rPr>
          <w:rFonts w:hint="default"/>
          <w:sz w:val="24"/>
          <w:szCs w:val="24"/>
          <w:lang w:val="pt-BR"/>
        </w:rPr>
        <w:t>3</w:t>
      </w:r>
      <w:r>
        <w:rPr>
          <w:sz w:val="24"/>
          <w:szCs w:val="24"/>
          <w:lang w:val="pt-BR"/>
        </w:rPr>
        <w:t>/10/2023</w:t>
      </w:r>
    </w:p>
    <w:p>
      <w:pPr>
        <w:pStyle w:val="7"/>
        <w:spacing w:before="12" w:beforeLines="5" w:line="360" w:lineRule="auto"/>
        <w:ind w:left="60" w:right="102" w:hanging="60" w:hangingChars="25"/>
        <w:jc w:val="both"/>
        <w:rPr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>Origem / Área Requisitante</w:t>
      </w:r>
      <w:r>
        <w:rPr>
          <w:sz w:val="24"/>
          <w:szCs w:val="24"/>
          <w:lang w:val="pt-BR"/>
        </w:rPr>
        <w:t>: 5ª/CII</w:t>
      </w:r>
    </w:p>
    <w:p>
      <w:pPr>
        <w:pStyle w:val="7"/>
        <w:spacing w:before="12" w:beforeLines="5" w:line="360" w:lineRule="auto"/>
        <w:ind w:right="102"/>
        <w:jc w:val="both"/>
        <w:rPr>
          <w:sz w:val="24"/>
          <w:szCs w:val="24"/>
          <w:highlight w:val="yellow"/>
          <w:lang w:val="pt-BR"/>
        </w:rPr>
      </w:pPr>
      <w:r>
        <w:rPr>
          <w:b/>
          <w:bCs/>
          <w:sz w:val="24"/>
          <w:szCs w:val="24"/>
          <w:lang w:val="pt-BR"/>
        </w:rPr>
        <w:t>Referência</w:t>
      </w:r>
      <w:r>
        <w:rPr>
          <w:sz w:val="24"/>
          <w:szCs w:val="24"/>
          <w:lang w:val="pt-BR"/>
        </w:rPr>
        <w:t>: Processo nº 59550.001195/2023-26</w:t>
      </w:r>
    </w:p>
    <w:p>
      <w:pPr>
        <w:pStyle w:val="7"/>
        <w:spacing w:before="1" w:line="248" w:lineRule="auto"/>
        <w:ind w:right="102"/>
        <w:jc w:val="both"/>
        <w:rPr>
          <w:rFonts w:eastAsia="serif"/>
          <w:sz w:val="24"/>
          <w:szCs w:val="24"/>
          <w:lang w:val="pt-BR"/>
        </w:rPr>
      </w:pPr>
    </w:p>
    <w:p>
      <w:pPr>
        <w:pStyle w:val="7"/>
        <w:numPr>
          <w:ilvl w:val="0"/>
          <w:numId w:val="1"/>
        </w:numPr>
        <w:spacing w:before="12" w:beforeLines="5" w:line="360" w:lineRule="auto"/>
        <w:ind w:right="102"/>
        <w:jc w:val="both"/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>NECESSIDADE DE CONTRATAÇÃO</w:t>
      </w:r>
    </w:p>
    <w:p>
      <w:pPr>
        <w:pStyle w:val="7"/>
        <w:spacing w:before="1" w:line="248" w:lineRule="auto"/>
        <w:ind w:right="102"/>
        <w:jc w:val="both"/>
        <w:rPr>
          <w:rFonts w:eastAsia="serif"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imSun"/>
          <w:sz w:val="24"/>
          <w:szCs w:val="24"/>
          <w:lang w:val="pt-BR"/>
        </w:rPr>
      </w:pPr>
      <w:r>
        <w:rPr>
          <w:rFonts w:eastAsia="SimSun"/>
          <w:sz w:val="24"/>
          <w:szCs w:val="24"/>
          <w:lang w:val="pt-BR"/>
        </w:rPr>
        <w:t xml:space="preserve">O Centro Integrado de Recursos Pesqueiros e Aquicultura de Itiúba - 5ª/CII, localizado no município de Porto Real do Colégio - AL, compreende uma área de </w:t>
      </w:r>
      <w:r>
        <w:rPr>
          <w:sz w:val="24"/>
          <w:szCs w:val="24"/>
        </w:rPr>
        <w:t>383.345</w:t>
      </w:r>
      <w:r>
        <w:rPr>
          <w:rFonts w:eastAsia="SimSun"/>
          <w:sz w:val="24"/>
          <w:szCs w:val="24"/>
          <w:lang w:val="pt-BR"/>
        </w:rPr>
        <w:t xml:space="preserve"> m². Implantado pela Codevasf a partir da década de 1980, o 5ª/CII viabiliza a produção de alevinos de peixes nativos e exóticos, os quais se destinam à recomposição da ictiofauna do rio São Francisco, através dos peixamentos públicos e também no fomento da produção pesqueira dos piscicultores atendidos pelo Centro. Além disso o 5ª/CII atua em atividades educativas com o recebimento de visitas técnicas e estagiários e monitoramento limnológico e ictiológico do Baixo São Francisco.</w:t>
      </w:r>
    </w:p>
    <w:p>
      <w:pPr>
        <w:pStyle w:val="7"/>
        <w:spacing w:before="1" w:line="248" w:lineRule="auto"/>
        <w:ind w:right="102"/>
        <w:jc w:val="both"/>
        <w:rPr>
          <w:rFonts w:eastAsia="SimSun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erif"/>
          <w:sz w:val="24"/>
          <w:szCs w:val="24"/>
          <w:lang w:val="pt-BR"/>
        </w:rPr>
      </w:pPr>
      <w:r>
        <w:rPr>
          <w:rFonts w:eastAsia="serif"/>
          <w:sz w:val="24"/>
          <w:szCs w:val="24"/>
          <w:lang w:val="pt-BR"/>
        </w:rPr>
        <w:t>Os serviços de limpeza, conservação e manutenção envolvem uma série de atividades que visam a</w:t>
      </w:r>
      <w:r>
        <w:rPr>
          <w:rFonts w:eastAsia="serif"/>
          <w:sz w:val="24"/>
          <w:szCs w:val="24"/>
        </w:rPr>
        <w:t>ssegura</w:t>
      </w:r>
      <w:r>
        <w:rPr>
          <w:rFonts w:eastAsia="serif"/>
          <w:sz w:val="24"/>
          <w:szCs w:val="24"/>
          <w:lang w:val="pt-BR"/>
        </w:rPr>
        <w:t>r</w:t>
      </w:r>
      <w:r>
        <w:rPr>
          <w:rFonts w:eastAsia="serif"/>
          <w:sz w:val="24"/>
          <w:szCs w:val="24"/>
        </w:rPr>
        <w:t xml:space="preserve"> condiç</w:t>
      </w:r>
      <w:r>
        <w:rPr>
          <w:rFonts w:eastAsia="serif"/>
          <w:sz w:val="24"/>
          <w:szCs w:val="24"/>
          <w:lang w:val="pt-BR"/>
        </w:rPr>
        <w:t xml:space="preserve">ões </w:t>
      </w:r>
      <w:r>
        <w:rPr>
          <w:rFonts w:eastAsia="serif"/>
          <w:sz w:val="24"/>
          <w:szCs w:val="24"/>
        </w:rPr>
        <w:t xml:space="preserve">indispensável </w:t>
      </w:r>
      <w:r>
        <w:rPr>
          <w:rFonts w:eastAsia="serif"/>
          <w:sz w:val="24"/>
          <w:szCs w:val="24"/>
          <w:lang w:val="pt-BR"/>
        </w:rPr>
        <w:t>à realização das referidas atividades institucionais da unidade</w:t>
      </w:r>
      <w:r>
        <w:rPr>
          <w:rFonts w:eastAsia="serif"/>
          <w:sz w:val="24"/>
          <w:szCs w:val="24"/>
        </w:rPr>
        <w:t>, de forma a</w:t>
      </w:r>
      <w:r>
        <w:rPr>
          <w:rFonts w:eastAsia="serif"/>
          <w:sz w:val="24"/>
          <w:szCs w:val="24"/>
          <w:lang w:val="pt-BR"/>
        </w:rPr>
        <w:t xml:space="preserve"> </w:t>
      </w:r>
      <w:r>
        <w:rPr>
          <w:rFonts w:eastAsia="serif"/>
          <w:sz w:val="24"/>
          <w:szCs w:val="24"/>
        </w:rPr>
        <w:t>proporciona</w:t>
      </w:r>
      <w:r>
        <w:rPr>
          <w:rFonts w:eastAsia="serif"/>
          <w:sz w:val="24"/>
          <w:szCs w:val="24"/>
          <w:lang w:val="pt-BR"/>
        </w:rPr>
        <w:t>r</w:t>
      </w:r>
      <w:r>
        <w:rPr>
          <w:rFonts w:eastAsia="serif"/>
          <w:sz w:val="24"/>
          <w:szCs w:val="24"/>
        </w:rPr>
        <w:t xml:space="preserve"> ao público interno e externo condições adequadas de higiene</w:t>
      </w:r>
      <w:r>
        <w:rPr>
          <w:rFonts w:eastAsia="serif"/>
          <w:sz w:val="24"/>
          <w:szCs w:val="24"/>
          <w:lang w:val="pt-BR"/>
        </w:rPr>
        <w:t xml:space="preserve"> </w:t>
      </w:r>
      <w:r>
        <w:rPr>
          <w:rFonts w:eastAsia="serif"/>
          <w:sz w:val="24"/>
          <w:szCs w:val="24"/>
        </w:rPr>
        <w:t>e conforto, além da manutenção e conservação d</w:t>
      </w:r>
      <w:r>
        <w:rPr>
          <w:rFonts w:eastAsia="serif"/>
          <w:sz w:val="24"/>
          <w:szCs w:val="24"/>
          <w:lang w:val="pt-BR"/>
        </w:rPr>
        <w:t>as estruturas da unidade voltadas à produção, a fim de preservar o bem público e de ofertar serviços e produtos de qualidade à população.</w:t>
      </w:r>
    </w:p>
    <w:p>
      <w:pPr>
        <w:pStyle w:val="7"/>
        <w:spacing w:before="1" w:line="248" w:lineRule="auto"/>
        <w:ind w:right="102"/>
        <w:jc w:val="both"/>
        <w:rPr>
          <w:rFonts w:eastAsia="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imSun"/>
          <w:sz w:val="24"/>
          <w:szCs w:val="24"/>
        </w:rPr>
        <w:t xml:space="preserve">Trata-se de serviço essencial, prestado de forma permanente e contínua, de forma terceirizada, </w:t>
      </w:r>
      <w:r>
        <w:rPr>
          <w:rFonts w:eastAsia="SimSun"/>
          <w:sz w:val="24"/>
          <w:szCs w:val="24"/>
          <w:lang w:val="pt-BR"/>
        </w:rPr>
        <w:t>frente</w:t>
      </w:r>
      <w:r>
        <w:rPr>
          <w:rFonts w:eastAsia="SimSun"/>
          <w:sz w:val="24"/>
          <w:szCs w:val="24"/>
        </w:rPr>
        <w:t xml:space="preserve"> </w:t>
      </w:r>
      <w:r>
        <w:rPr>
          <w:rFonts w:eastAsia="SimSun"/>
          <w:sz w:val="24"/>
          <w:szCs w:val="24"/>
          <w:lang w:val="pt-BR"/>
        </w:rPr>
        <w:t>à deficiência</w:t>
      </w:r>
      <w:r>
        <w:rPr>
          <w:rFonts w:eastAsia="SimSun"/>
          <w:sz w:val="24"/>
          <w:szCs w:val="24"/>
        </w:rPr>
        <w:t xml:space="preserve"> de recursos humanos próprios</w:t>
      </w:r>
      <w:r>
        <w:rPr>
          <w:rFonts w:eastAsia="SimSun"/>
          <w:sz w:val="24"/>
          <w:szCs w:val="24"/>
          <w:lang w:val="pt-BR"/>
        </w:rPr>
        <w:t xml:space="preserve"> da Codevasf</w:t>
      </w:r>
      <w:r>
        <w:rPr>
          <w:rFonts w:eastAsia="SimSun"/>
          <w:sz w:val="24"/>
          <w:szCs w:val="24"/>
        </w:rPr>
        <w:t xml:space="preserve"> para a realização dess</w:t>
      </w:r>
      <w:r>
        <w:rPr>
          <w:rFonts w:eastAsia="SimSun"/>
          <w:sz w:val="24"/>
          <w:szCs w:val="24"/>
          <w:lang w:val="pt-BR"/>
        </w:rPr>
        <w:t>a</w:t>
      </w:r>
      <w:r>
        <w:rPr>
          <w:rFonts w:eastAsia="SimSun"/>
          <w:sz w:val="24"/>
          <w:szCs w:val="24"/>
        </w:rPr>
        <w:t xml:space="preserve">s </w:t>
      </w:r>
      <w:r>
        <w:rPr>
          <w:rFonts w:eastAsia="SimSun"/>
          <w:sz w:val="24"/>
          <w:szCs w:val="24"/>
          <w:lang w:val="pt-BR"/>
        </w:rPr>
        <w:t>atividades, t</w:t>
      </w:r>
      <w:r>
        <w:rPr>
          <w:rFonts w:eastAsia="sans-serif"/>
          <w:sz w:val="24"/>
          <w:szCs w:val="24"/>
          <w:lang w:val="pt-BR"/>
        </w:rPr>
        <w:t xml:space="preserve">endo em vista o impedimento da maioria dos empregados operacionais lotados nesta unidade, por possuírem aposentadoria do tipo especial, logo, são impedidos de realizar atividades insalubres. Também tem a impossibilidade de realização de concurso público para os cargos de operacionais, uma vez que </w:t>
      </w:r>
      <w:r>
        <w:rPr>
          <w:rFonts w:eastAsia="sans-serif"/>
          <w:sz w:val="24"/>
          <w:szCs w:val="24"/>
        </w:rPr>
        <w:t>a Deliberação</w:t>
      </w:r>
      <w:r>
        <w:rPr>
          <w:rFonts w:eastAsia="sans-serif"/>
          <w:sz w:val="24"/>
          <w:szCs w:val="24"/>
          <w:lang w:val="pt-BR"/>
        </w:rPr>
        <w:t xml:space="preserve"> </w:t>
      </w:r>
      <w:r>
        <w:rPr>
          <w:rFonts w:eastAsia="sans-serif"/>
          <w:sz w:val="24"/>
          <w:szCs w:val="24"/>
        </w:rPr>
        <w:t>nº 10/2020 do CONSAD aprovou a extinção dos cargos de</w:t>
      </w:r>
      <w:r>
        <w:rPr>
          <w:rFonts w:eastAsia="sans-serif"/>
          <w:sz w:val="24"/>
          <w:szCs w:val="24"/>
          <w:lang w:val="pt-BR"/>
        </w:rPr>
        <w:t xml:space="preserve"> </w:t>
      </w:r>
      <w:r>
        <w:rPr>
          <w:rFonts w:eastAsia="sans-serif"/>
          <w:sz w:val="24"/>
          <w:szCs w:val="24"/>
        </w:rPr>
        <w:t>A</w:t>
      </w:r>
      <w:r>
        <w:rPr>
          <w:rFonts w:eastAsia="sans-serif"/>
          <w:sz w:val="24"/>
          <w:szCs w:val="24"/>
          <w:lang w:val="pt-BR"/>
        </w:rPr>
        <w:t>uxiliar Operacional em Desenvolvimento Regional (A</w:t>
      </w:r>
      <w:r>
        <w:rPr>
          <w:rFonts w:eastAsia="sans-serif"/>
          <w:sz w:val="24"/>
          <w:szCs w:val="24"/>
        </w:rPr>
        <w:t>ODR</w:t>
      </w:r>
      <w:r>
        <w:rPr>
          <w:rFonts w:eastAsia="sans-serif"/>
          <w:sz w:val="24"/>
          <w:szCs w:val="24"/>
          <w:lang w:val="pt-BR"/>
        </w:rPr>
        <w:t>).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imSun"/>
          <w:sz w:val="24"/>
          <w:szCs w:val="24"/>
          <w:lang w:val="pt-BR"/>
        </w:rPr>
      </w:pPr>
      <w:r>
        <w:rPr>
          <w:rFonts w:eastAsia="SimSun"/>
          <w:sz w:val="24"/>
          <w:szCs w:val="24"/>
        </w:rPr>
        <w:t xml:space="preserve">Atualmente os serviços de </w:t>
      </w:r>
      <w:r>
        <w:rPr>
          <w:rFonts w:eastAsia="SimSun"/>
          <w:sz w:val="24"/>
          <w:szCs w:val="24"/>
          <w:lang w:val="pt-BR"/>
        </w:rPr>
        <w:t>limpeza</w:t>
      </w:r>
      <w:r>
        <w:rPr>
          <w:rFonts w:eastAsia="serif"/>
          <w:sz w:val="24"/>
          <w:szCs w:val="24"/>
          <w:lang w:val="pt-BR"/>
        </w:rPr>
        <w:t>, conservação e manutenção</w:t>
      </w:r>
      <w:r>
        <w:rPr>
          <w:rFonts w:eastAsia="SimSun"/>
          <w:sz w:val="24"/>
          <w:szCs w:val="24"/>
        </w:rPr>
        <w:t xml:space="preserve"> estão sendo prestados pela empresa</w:t>
      </w:r>
      <w:r>
        <w:rPr>
          <w:rFonts w:eastAsia="SimSun"/>
          <w:sz w:val="24"/>
          <w:szCs w:val="24"/>
          <w:lang w:val="pt-BR"/>
        </w:rPr>
        <w:t xml:space="preserve"> PS SERVICOS DE LIMPEZA LTDA, CNPJ/MF nº 18.804.276/0001-98</w:t>
      </w:r>
      <w:r>
        <w:rPr>
          <w:rFonts w:eastAsia="SimSun"/>
          <w:sz w:val="24"/>
          <w:szCs w:val="24"/>
        </w:rPr>
        <w:t xml:space="preserve">, por meio do contrato n° 5.0267.00/2022, que se encerra em </w:t>
      </w:r>
      <w:r>
        <w:rPr>
          <w:rFonts w:eastAsia="SimSun"/>
          <w:sz w:val="24"/>
          <w:szCs w:val="24"/>
          <w:lang w:val="pt-BR"/>
        </w:rPr>
        <w:t>28</w:t>
      </w:r>
      <w:r>
        <w:rPr>
          <w:rFonts w:eastAsia="SimSun"/>
          <w:sz w:val="24"/>
          <w:szCs w:val="24"/>
        </w:rPr>
        <w:t xml:space="preserve">/12/2023, </w:t>
      </w:r>
      <w:r>
        <w:rPr>
          <w:rFonts w:eastAsia="SimSun"/>
          <w:sz w:val="24"/>
          <w:szCs w:val="24"/>
          <w:lang w:val="pt-BR"/>
        </w:rPr>
        <w:t>tendo a contratada manifestado interesse em não prorrogar o contrato.</w:t>
      </w:r>
    </w:p>
    <w:p>
      <w:pPr>
        <w:pStyle w:val="7"/>
        <w:spacing w:before="1" w:line="248" w:lineRule="auto"/>
        <w:ind w:right="102"/>
        <w:jc w:val="both"/>
        <w:rPr>
          <w:rFonts w:eastAsia="SimSun"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erif"/>
          <w:sz w:val="24"/>
          <w:szCs w:val="24"/>
        </w:rPr>
      </w:pPr>
      <w:r>
        <w:rPr>
          <w:rFonts w:eastAsia="SimSun"/>
          <w:sz w:val="24"/>
          <w:szCs w:val="24"/>
        </w:rPr>
        <w:t>A presente licitação justifica-se pelo princípio do interesse público, tendo em vista que</w:t>
      </w:r>
      <w:r>
        <w:rPr>
          <w:rFonts w:eastAsia="SimSun"/>
          <w:sz w:val="24"/>
          <w:szCs w:val="24"/>
          <w:lang w:val="pt-BR"/>
        </w:rPr>
        <w:t xml:space="preserve"> o</w:t>
      </w:r>
      <w:r>
        <w:rPr>
          <w:rFonts w:eastAsia="SimSun"/>
          <w:sz w:val="24"/>
          <w:szCs w:val="24"/>
        </w:rPr>
        <w:t xml:space="preserve"> </w:t>
      </w:r>
      <w:r>
        <w:rPr>
          <w:rFonts w:eastAsia="SimSun"/>
          <w:sz w:val="24"/>
          <w:szCs w:val="24"/>
          <w:lang w:val="pt-BR"/>
        </w:rPr>
        <w:t>Centro Integrado de Recursos Pesqueiros e Aquicultura de Itiúba é</w:t>
      </w:r>
      <w:r>
        <w:rPr>
          <w:rFonts w:eastAsia="SimSun"/>
          <w:sz w:val="24"/>
          <w:szCs w:val="24"/>
        </w:rPr>
        <w:t xml:space="preserve"> be</w:t>
      </w:r>
      <w:r>
        <w:rPr>
          <w:rFonts w:eastAsia="SimSun"/>
          <w:sz w:val="24"/>
          <w:szCs w:val="24"/>
          <w:lang w:val="pt-BR"/>
        </w:rPr>
        <w:t>m</w:t>
      </w:r>
      <w:r>
        <w:rPr>
          <w:rFonts w:eastAsia="SimSun"/>
          <w:sz w:val="24"/>
          <w:szCs w:val="24"/>
        </w:rPr>
        <w:t xml:space="preserve"> público de importância estratégica para o desenvolvimento regional, </w:t>
      </w:r>
      <w:r>
        <w:rPr>
          <w:rFonts w:eastAsia="SimSun"/>
          <w:sz w:val="24"/>
          <w:szCs w:val="24"/>
          <w:lang w:val="pt-BR"/>
        </w:rPr>
        <w:t>onde</w:t>
      </w:r>
      <w:r>
        <w:rPr>
          <w:rFonts w:eastAsia="SimSun"/>
          <w:sz w:val="24"/>
          <w:szCs w:val="24"/>
        </w:rPr>
        <w:t xml:space="preserve"> a Codevasf </w:t>
      </w:r>
      <w:r>
        <w:rPr>
          <w:rFonts w:eastAsia="SimSun"/>
          <w:sz w:val="24"/>
          <w:szCs w:val="24"/>
          <w:lang w:val="pt-BR"/>
        </w:rPr>
        <w:t>tem carência</w:t>
      </w:r>
      <w:r>
        <w:rPr>
          <w:rFonts w:eastAsia="SimSun"/>
          <w:sz w:val="24"/>
          <w:szCs w:val="24"/>
        </w:rPr>
        <w:t xml:space="preserve"> de profissionais para prestar os serviços de </w:t>
      </w:r>
      <w:r>
        <w:rPr>
          <w:rFonts w:eastAsia="SimSun"/>
          <w:sz w:val="24"/>
          <w:szCs w:val="24"/>
          <w:lang w:val="pt-BR"/>
        </w:rPr>
        <w:t>limpeza</w:t>
      </w:r>
      <w:r>
        <w:rPr>
          <w:rFonts w:eastAsia="serif"/>
          <w:sz w:val="24"/>
          <w:szCs w:val="24"/>
          <w:lang w:val="pt-BR"/>
        </w:rPr>
        <w:t>, conservação e manutenção,</w:t>
      </w:r>
      <w:r>
        <w:rPr>
          <w:rFonts w:eastAsia="SimSun"/>
          <w:sz w:val="24"/>
          <w:szCs w:val="24"/>
        </w:rPr>
        <w:t xml:space="preserve"> e ainda, que é dever do Poder Público zelar pelo funcionamento e manutenção de tal patrimônio.</w:t>
      </w:r>
    </w:p>
    <w:p>
      <w:pPr>
        <w:pStyle w:val="7"/>
        <w:spacing w:before="1" w:line="247" w:lineRule="auto"/>
        <w:ind w:left="143" w:right="103" w:firstLine="532"/>
        <w:jc w:val="both"/>
        <w:rPr>
          <w:sz w:val="24"/>
          <w:szCs w:val="24"/>
        </w:rPr>
      </w:pPr>
    </w:p>
    <w:p>
      <w:pPr>
        <w:pStyle w:val="2"/>
        <w:numPr>
          <w:ilvl w:val="0"/>
          <w:numId w:val="1"/>
        </w:numPr>
        <w:tabs>
          <w:tab w:val="left" w:pos="3667"/>
          <w:tab w:val="left" w:pos="3668"/>
        </w:tabs>
        <w:spacing w:before="1"/>
        <w:ind w:left="0" w:firstLine="0"/>
        <w:rPr>
          <w:sz w:val="24"/>
          <w:szCs w:val="24"/>
        </w:rPr>
      </w:pPr>
      <w:r>
        <w:rPr>
          <w:sz w:val="24"/>
          <w:szCs w:val="24"/>
        </w:rPr>
        <w:t>REQUISITOS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NECESSÁRIO</w:t>
      </w:r>
      <w:r>
        <w:rPr>
          <w:sz w:val="24"/>
          <w:szCs w:val="24"/>
          <w:lang w:val="pt-BR"/>
        </w:rPr>
        <w:t>S</w:t>
      </w:r>
    </w:p>
    <w:p>
      <w:pPr>
        <w:rPr>
          <w:sz w:val="24"/>
          <w:szCs w:val="24"/>
          <w:highlight w:val="yellow"/>
          <w:lang w:val="pt-BR"/>
        </w:rPr>
      </w:pPr>
    </w:p>
    <w:p>
      <w:p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Os requisitos adotados atenderão critérios mínimos de qualidade, bem como aspectos de sustentabilidade, de modo a possibilitar a seleção da proposta mais vantajosa mediante ampla competição.</w:t>
      </w:r>
    </w:p>
    <w:p>
      <w:pPr>
        <w:jc w:val="both"/>
        <w:rPr>
          <w:rFonts w:eastAsia="sans-serif"/>
          <w:sz w:val="24"/>
          <w:szCs w:val="24"/>
          <w:lang w:val="pt-BR"/>
        </w:rPr>
      </w:pPr>
    </w:p>
    <w:p>
      <w:pPr>
        <w:numPr>
          <w:ilvl w:val="1"/>
          <w:numId w:val="1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Nível de Qualidade: Atendimento às normas e especificações técnicas de amplo conhecimento do mercado a serem indicadas nos Termos de Referência.</w:t>
      </w:r>
    </w:p>
    <w:p>
      <w:pPr>
        <w:jc w:val="both"/>
        <w:rPr>
          <w:rFonts w:eastAsia="sans-serif"/>
          <w:sz w:val="24"/>
          <w:szCs w:val="24"/>
          <w:lang w:val="pt-BR"/>
        </w:rPr>
      </w:pPr>
    </w:p>
    <w:p>
      <w:pPr>
        <w:numPr>
          <w:ilvl w:val="1"/>
          <w:numId w:val="1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Sustentabilidade: Atendimento aos critérios a serem indicados nos Termos de Referência. Por se tratar de serviços que não possui impactos ambientais significativos que precisem ser previstos ou avaliados neste momento.</w:t>
      </w:r>
    </w:p>
    <w:p>
      <w:pPr>
        <w:jc w:val="both"/>
        <w:rPr>
          <w:rFonts w:eastAsia="sans-serif"/>
          <w:sz w:val="24"/>
          <w:szCs w:val="24"/>
          <w:lang w:val="pt-BR"/>
        </w:rPr>
      </w:pPr>
    </w:p>
    <w:p>
      <w:p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2.3 Critérios de Seleção:</w:t>
      </w:r>
    </w:p>
    <w:p>
      <w:p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2.3.1 Qualificação Técnica: baseada na capacidade operacional da licitante, relativo a experiências similares em contratos anteriores nos serviços de maior relevância, indicados nos Termos de Referência.</w:t>
      </w:r>
    </w:p>
    <w:p>
      <w:p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2.3.2 Qualificação econômico-financeira: com base no capital social da licitante, correspondente a 10% do valor orçado pela Codevasf e índices de liquidez.</w:t>
      </w:r>
    </w:p>
    <w:p>
      <w:p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2.3.3 Critério de julgamento de propostas: menor preço.</w:t>
      </w:r>
    </w:p>
    <w:p>
      <w:pPr>
        <w:jc w:val="both"/>
        <w:rPr>
          <w:rFonts w:eastAsia="sans-serif"/>
          <w:sz w:val="24"/>
          <w:szCs w:val="24"/>
          <w:lang w:val="pt-BR"/>
        </w:rPr>
      </w:pPr>
    </w:p>
    <w:p>
      <w:p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A contratação em estudo obedecerá, no que couber, à legislação e aos normativos abaixo relacionados, e suas posteriores atualizações:</w:t>
      </w:r>
    </w:p>
    <w:p>
      <w:pPr>
        <w:numPr>
          <w:ilvl w:val="0"/>
          <w:numId w:val="2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Lei n° 10.520 de 17 de julho de 2002;</w:t>
      </w:r>
    </w:p>
    <w:p>
      <w:pPr>
        <w:numPr>
          <w:ilvl w:val="0"/>
          <w:numId w:val="2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Lei nº 13.303 de 30 de junho de 2016;</w:t>
      </w:r>
    </w:p>
    <w:p>
      <w:pPr>
        <w:numPr>
          <w:ilvl w:val="0"/>
          <w:numId w:val="2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Lei nº 13.467 de 13 de julho de 2017;</w:t>
      </w:r>
    </w:p>
    <w:p>
      <w:pPr>
        <w:numPr>
          <w:ilvl w:val="0"/>
          <w:numId w:val="2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Instrução Normativa nº 05 de 25 de maio de 2017;</w:t>
      </w:r>
    </w:p>
    <w:p>
      <w:pPr>
        <w:numPr>
          <w:ilvl w:val="0"/>
          <w:numId w:val="2"/>
        </w:numPr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Instrução Normativa nº 49 de 30 de junho de 2020.</w:t>
      </w:r>
    </w:p>
    <w:p>
      <w:pPr>
        <w:pStyle w:val="7"/>
        <w:spacing w:line="244" w:lineRule="auto"/>
        <w:ind w:right="106"/>
        <w:jc w:val="both"/>
        <w:rPr>
          <w:sz w:val="24"/>
          <w:szCs w:val="24"/>
        </w:rPr>
      </w:pPr>
    </w:p>
    <w:p>
      <w:pPr>
        <w:pStyle w:val="2"/>
        <w:numPr>
          <w:ilvl w:val="0"/>
          <w:numId w:val="1"/>
        </w:numPr>
        <w:tabs>
          <w:tab w:val="left" w:pos="3667"/>
          <w:tab w:val="left" w:pos="3668"/>
        </w:tabs>
        <w:spacing w:before="1"/>
        <w:ind w:left="0" w:firstLine="0"/>
        <w:rPr>
          <w:sz w:val="24"/>
          <w:szCs w:val="24"/>
        </w:rPr>
      </w:pPr>
      <w:r>
        <w:rPr>
          <w:sz w:val="24"/>
          <w:szCs w:val="24"/>
        </w:rPr>
        <w:t>ANÁLISE DE ALTERNATIVAS</w:t>
      </w:r>
    </w:p>
    <w:p>
      <w:pPr>
        <w:rPr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A concepção original da </w:t>
      </w:r>
      <w:r>
        <w:rPr>
          <w:rFonts w:eastAsia="SimSun"/>
          <w:sz w:val="24"/>
          <w:szCs w:val="24"/>
          <w:lang w:val="pt-BR"/>
        </w:rPr>
        <w:t>“Estação de Piscicultura”</w:t>
      </w:r>
      <w:r>
        <w:rPr>
          <w:rFonts w:eastAsia="sans-serif"/>
          <w:sz w:val="24"/>
          <w:szCs w:val="24"/>
          <w:lang w:val="pt-BR"/>
        </w:rPr>
        <w:t>, do início da  década de 1980, previa o uso intensivo de mão de  na operação e manutenção da piscicultura, como o manejo de reprodutores e alevinos, manutenção e limpeza dos viveiros e manutenção predial, entre outros, serviços  esses que inicialmente eram prestados pelos próprios empregados da Codevasf.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Ao longo dos últimos 35 anos o corpo técnico operacional desta Companhia envolvido na prestação dos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sans-serif"/>
          <w:sz w:val="24"/>
          <w:szCs w:val="24"/>
          <w:lang w:val="pt-BR"/>
        </w:rPr>
        <w:t xml:space="preserve"> reduziu-se naturalmente devido a aposentadoria desses trabalhadores, somado a não reposição desse quadro de empregados através de concurso público e extinção no Plano de  Carreiras e Salários - PCS da Codevasf desse grupo de cargos operacionais. No momento a terceirização de tais serviços tornou-se a única alternativa viável para sanar  esta demanda e manter as atividades do 5ª/CII.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DESCRIÇÃO DA SOLUÇÃO</w:t>
      </w:r>
    </w:p>
    <w:p>
      <w:pPr>
        <w:rPr>
          <w:b/>
          <w:bCs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A solução técnica satisfatória e economicamente viável para a continuidade da prestação dos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sans-serif"/>
          <w:sz w:val="24"/>
          <w:szCs w:val="24"/>
          <w:lang w:val="pt-BR"/>
        </w:rPr>
        <w:t xml:space="preserve"> da infraestrutura do 5ª/CII, é a contratação de uma empresa do ramo do  objeto em estudo que atenda às exigências dos Termos de Referência e seus Anexos.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O detalhamento dos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sans-serif"/>
          <w:sz w:val="24"/>
          <w:szCs w:val="24"/>
          <w:lang w:val="pt-BR"/>
        </w:rPr>
        <w:t xml:space="preserve"> serão descritos nas Especificações Técnicas que  acompanham o Termo de Referência.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QUANTITATIVOS</w:t>
      </w:r>
    </w:p>
    <w:p>
      <w:pPr>
        <w:rPr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As memórias de cálculo e a quantificação da execução dos serviços dos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sans-serif"/>
          <w:sz w:val="24"/>
          <w:szCs w:val="24"/>
          <w:lang w:val="pt-BR"/>
        </w:rPr>
        <w:t xml:space="preserve"> do </w:t>
      </w:r>
      <w:r>
        <w:rPr>
          <w:rFonts w:eastAsia="SimSun"/>
          <w:sz w:val="24"/>
          <w:szCs w:val="24"/>
          <w:lang w:val="pt-BR"/>
        </w:rPr>
        <w:t>5ª/CII</w:t>
      </w:r>
      <w:r>
        <w:rPr>
          <w:rFonts w:eastAsia="sans-serif"/>
          <w:sz w:val="24"/>
          <w:szCs w:val="24"/>
          <w:lang w:val="pt-BR"/>
        </w:rPr>
        <w:t>, serão detalhadas nas Planilhas de Formação de Preço  anexas ao Termo de Referência (TR), em conformidade com os quantitativos abaixo estimados.</w:t>
      </w:r>
    </w:p>
    <w:p>
      <w:pPr>
        <w:rPr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b/>
          <w:bCs/>
          <w:sz w:val="24"/>
          <w:szCs w:val="24"/>
          <w:lang w:val="pt-BR"/>
        </w:rPr>
        <w:t>TABELA 1</w:t>
      </w:r>
      <w:r>
        <w:rPr>
          <w:rFonts w:eastAsia="sans-serif"/>
          <w:sz w:val="24"/>
          <w:szCs w:val="24"/>
          <w:lang w:val="pt-BR"/>
        </w:rPr>
        <w:t>: Quantitativos de profissionais - mão de obra/mês</w:t>
      </w:r>
    </w:p>
    <w:tbl>
      <w:tblPr>
        <w:tblStyle w:val="4"/>
        <w:tblpPr w:leftFromText="141" w:rightFromText="141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722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adjustRightInd w:val="0"/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Item</w:t>
            </w:r>
          </w:p>
        </w:tc>
        <w:tc>
          <w:tcPr>
            <w:tcW w:w="7225" w:type="dxa"/>
            <w:vAlign w:val="center"/>
          </w:tcPr>
          <w:p>
            <w:pPr>
              <w:adjustRightInd w:val="0"/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Descrição</w:t>
            </w:r>
          </w:p>
        </w:tc>
        <w:tc>
          <w:tcPr>
            <w:tcW w:w="1640" w:type="dxa"/>
            <w:vAlign w:val="center"/>
          </w:tcPr>
          <w:p>
            <w:pPr>
              <w:adjustRightInd w:val="0"/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  <w:lang w:val="pt-BR"/>
              </w:rPr>
              <w:t>uantidade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adjustRightInd w:val="0"/>
              <w:jc w:val="center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7225" w:type="dxa"/>
            <w:vAlign w:val="center"/>
          </w:tcPr>
          <w:p>
            <w:pPr>
              <w:adjustRightInd w:val="0"/>
              <w:rPr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</w:rPr>
              <w:t>Agente de Limpeza</w:t>
            </w: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/>
                <w:bCs/>
                <w:sz w:val="24"/>
                <w:szCs w:val="24"/>
                <w:lang w:val="pt-BR"/>
              </w:rPr>
              <w:t>co</w:t>
            </w:r>
            <w:r>
              <w:rPr>
                <w:bCs/>
                <w:sz w:val="24"/>
                <w:szCs w:val="24"/>
                <w:lang w:val="pt-BR"/>
              </w:rPr>
              <w:t>m insalubridade</w:t>
            </w:r>
          </w:p>
        </w:tc>
        <w:tc>
          <w:tcPr>
            <w:tcW w:w="1640" w:type="dxa"/>
            <w:vAlign w:val="center"/>
          </w:tcPr>
          <w:p>
            <w:pPr>
              <w:adjustRightInd w:val="0"/>
              <w:jc w:val="center"/>
              <w:rPr>
                <w:rFonts w:hint="default"/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0</w:t>
            </w:r>
            <w:r>
              <w:rPr>
                <w:rFonts w:hint="default"/>
                <w:sz w:val="24"/>
                <w:szCs w:val="24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adjustRightInd w:val="0"/>
              <w:jc w:val="center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2</w:t>
            </w:r>
          </w:p>
        </w:tc>
        <w:tc>
          <w:tcPr>
            <w:tcW w:w="7225" w:type="dxa"/>
            <w:vAlign w:val="center"/>
          </w:tcPr>
          <w:p>
            <w:pPr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Agente de Limpeza</w:t>
            </w: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/>
                <w:bCs/>
                <w:sz w:val="24"/>
                <w:szCs w:val="24"/>
                <w:lang w:val="pt-BR"/>
              </w:rPr>
              <w:t>se</w:t>
            </w:r>
            <w:r>
              <w:rPr>
                <w:bCs/>
                <w:sz w:val="24"/>
                <w:szCs w:val="24"/>
                <w:lang w:val="pt-BR"/>
              </w:rPr>
              <w:t>m insalubridade</w:t>
            </w:r>
          </w:p>
        </w:tc>
        <w:tc>
          <w:tcPr>
            <w:tcW w:w="1640" w:type="dxa"/>
            <w:vAlign w:val="center"/>
          </w:tcPr>
          <w:p>
            <w:pPr>
              <w:adjustRightInd w:val="0"/>
              <w:jc w:val="center"/>
              <w:rPr>
                <w:rFonts w:hint="default"/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0</w:t>
            </w:r>
            <w:r>
              <w:rPr>
                <w:rFonts w:hint="default"/>
                <w:sz w:val="24"/>
                <w:szCs w:val="24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widowControl/>
              <w:jc w:val="center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3</w:t>
            </w:r>
          </w:p>
        </w:tc>
        <w:tc>
          <w:tcPr>
            <w:tcW w:w="7225" w:type="dxa"/>
            <w:vAlign w:val="center"/>
          </w:tcPr>
          <w:p>
            <w:pPr>
              <w:widowControl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Motorista de veículo</w:t>
            </w:r>
            <w:r>
              <w:rPr>
                <w:rFonts w:eastAsia="SimSun"/>
                <w:sz w:val="24"/>
                <w:szCs w:val="24"/>
                <w:lang w:val="en-US" w:eastAsia="zh-CN" w:bidi="ar"/>
              </w:rPr>
              <w:t xml:space="preserve"> de Carga Leve (até 4tn. ou 16 passageiros)</w:t>
            </w:r>
          </w:p>
        </w:tc>
        <w:tc>
          <w:tcPr>
            <w:tcW w:w="1640" w:type="dxa"/>
            <w:vAlign w:val="center"/>
          </w:tcPr>
          <w:p>
            <w:pPr>
              <w:adjustRightInd w:val="0"/>
              <w:jc w:val="center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adjustRightInd w:val="0"/>
              <w:jc w:val="center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4</w:t>
            </w:r>
          </w:p>
        </w:tc>
        <w:tc>
          <w:tcPr>
            <w:tcW w:w="7225" w:type="dxa"/>
            <w:vAlign w:val="center"/>
          </w:tcPr>
          <w:p>
            <w:pPr>
              <w:adjustRightInd w:val="0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Encarregado de Turma</w:t>
            </w:r>
          </w:p>
        </w:tc>
        <w:tc>
          <w:tcPr>
            <w:tcW w:w="1640" w:type="dxa"/>
            <w:vAlign w:val="center"/>
          </w:tcPr>
          <w:p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/>
              </w:rPr>
              <w:t>0</w:t>
            </w: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2"/>
            <w:vAlign w:val="center"/>
          </w:tcPr>
          <w:p>
            <w:pPr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40" w:type="dxa"/>
            <w:vAlign w:val="center"/>
          </w:tcPr>
          <w:p>
            <w:pPr>
              <w:adjustRightInd w:val="0"/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10</w:t>
            </w:r>
          </w:p>
        </w:tc>
      </w:tr>
    </w:tbl>
    <w:p>
      <w:pPr>
        <w:rPr>
          <w:sz w:val="24"/>
          <w:szCs w:val="24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LEVANTAMENTO DE CUSTOS DE MERCADO E DADOS OFICIAIS</w:t>
      </w:r>
    </w:p>
    <w:p>
      <w:pPr>
        <w:numPr>
          <w:ilvl w:val="0"/>
          <w:numId w:val="0"/>
        </w:numPr>
        <w:rPr>
          <w:b/>
          <w:bCs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sz w:val="24"/>
          <w:szCs w:val="24"/>
          <w:lang w:val="pt-BR"/>
        </w:rPr>
      </w:pPr>
      <w:r>
        <w:rPr>
          <w:rFonts w:hint="default" w:eastAsia="sans-serif"/>
          <w:sz w:val="24"/>
          <w:szCs w:val="24"/>
          <w:lang w:val="pt-BR"/>
        </w:rPr>
        <w:t>A pesquisa de preços foi realizada considerando as premissas contidas na Instrução Normativa 65/2021 – SEGES/ME, no Manual do STJ, no manual do DATAPREV e no Regimento Interno da Codevasf.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sz w:val="24"/>
          <w:szCs w:val="24"/>
          <w:lang w:val="pt-BR"/>
        </w:rPr>
      </w:pPr>
      <w:r>
        <w:rPr>
          <w:rFonts w:hint="default" w:eastAsia="sans-serif"/>
          <w:sz w:val="24"/>
          <w:szCs w:val="24"/>
          <w:lang w:val="pt-BR"/>
        </w:rPr>
        <w:t>Foram utilizados os seguintes parâmetros, empregados de forma combinada ou não: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 xml:space="preserve">1º. 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>Contrat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o atual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 d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e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 serviços de </w:t>
      </w:r>
      <w:r>
        <w:rPr>
          <w:rFonts w:eastAsia="serif"/>
          <w:color w:val="auto"/>
          <w:sz w:val="24"/>
          <w:szCs w:val="24"/>
          <w:highlight w:val="none"/>
          <w:lang w:val="pt-BR"/>
        </w:rPr>
        <w:t>limpeza, conservação e manutenção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 do </w:t>
      </w:r>
      <w:r>
        <w:rPr>
          <w:rFonts w:eastAsia="SimSun"/>
          <w:color w:val="auto"/>
          <w:sz w:val="24"/>
          <w:szCs w:val="24"/>
          <w:highlight w:val="none"/>
          <w:lang w:val="pt-BR"/>
        </w:rPr>
        <w:t>5ª/CII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, objeto do contrato n° </w:t>
      </w:r>
      <w:r>
        <w:rPr>
          <w:rFonts w:eastAsia="SimSun"/>
          <w:color w:val="auto"/>
          <w:sz w:val="24"/>
          <w:szCs w:val="24"/>
          <w:highlight w:val="none"/>
        </w:rPr>
        <w:t>5.0267.00/2022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 celebrado com a empresa </w:t>
      </w:r>
      <w:r>
        <w:rPr>
          <w:rFonts w:eastAsia="SimSun"/>
          <w:color w:val="auto"/>
          <w:sz w:val="24"/>
          <w:szCs w:val="24"/>
          <w:highlight w:val="none"/>
          <w:lang w:val="pt-BR"/>
        </w:rPr>
        <w:t>PS SERVICOS DE LIMPEZA LTDA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>, que se encerra em 28/12/2023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;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imSun"/>
          <w:color w:val="auto"/>
          <w:sz w:val="24"/>
          <w:szCs w:val="24"/>
          <w:highlight w:val="none"/>
          <w:lang w:val="pt-BR" w:eastAsia="zh-CN" w:bidi="ar"/>
        </w:rPr>
      </w:pP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Os salários dos profissionais envolvidos na prestação dos serviços 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 xml:space="preserve">de limpeza 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>te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m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 como referência os preços previstos na Convençã</w:t>
      </w:r>
      <w:bookmarkStart w:id="0" w:name="_GoBack"/>
      <w:bookmarkEnd w:id="0"/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o Coletiva de Trabalho da Categoria 2023/2023, </w:t>
      </w:r>
      <w:r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  <w:t xml:space="preserve">firmada entre o </w:t>
      </w:r>
      <w:r>
        <w:rPr>
          <w:rFonts w:eastAsia="SimSun"/>
          <w:color w:val="auto"/>
          <w:sz w:val="24"/>
          <w:szCs w:val="24"/>
          <w:highlight w:val="none"/>
          <w:lang w:val="en-US" w:eastAsia="zh-CN" w:bidi="ar"/>
        </w:rPr>
        <w:t>SINDICATO DAS EMPRESAS DE ASSEIO E CONSERV</w:t>
      </w:r>
      <w:r>
        <w:rPr>
          <w:rFonts w:eastAsia="SimSun"/>
          <w:color w:val="auto"/>
          <w:sz w:val="24"/>
          <w:szCs w:val="24"/>
          <w:highlight w:val="none"/>
          <w:lang w:val="pt-BR" w:eastAsia="zh-CN" w:bidi="ar"/>
        </w:rPr>
        <w:t>AÇÃO</w:t>
      </w:r>
      <w:r>
        <w:rPr>
          <w:rFonts w:eastAsia="SimSun"/>
          <w:color w:val="auto"/>
          <w:sz w:val="24"/>
          <w:szCs w:val="24"/>
          <w:highlight w:val="none"/>
          <w:lang w:val="en-US" w:eastAsia="zh-CN" w:bidi="ar"/>
        </w:rPr>
        <w:t xml:space="preserve"> DO EST</w:t>
      </w:r>
      <w:r>
        <w:rPr>
          <w:rFonts w:eastAsia="SimSun"/>
          <w:color w:val="auto"/>
          <w:sz w:val="24"/>
          <w:szCs w:val="24"/>
          <w:highlight w:val="none"/>
          <w:lang w:val="pt-BR" w:eastAsia="zh-CN" w:bidi="ar"/>
        </w:rPr>
        <w:t>ADO</w:t>
      </w:r>
      <w:r>
        <w:rPr>
          <w:rFonts w:eastAsia="SimSun"/>
          <w:color w:val="auto"/>
          <w:sz w:val="24"/>
          <w:szCs w:val="24"/>
          <w:highlight w:val="none"/>
          <w:lang w:val="en-US" w:eastAsia="zh-CN" w:bidi="ar"/>
        </w:rPr>
        <w:t xml:space="preserve"> DE AL</w:t>
      </w:r>
      <w:r>
        <w:rPr>
          <w:rFonts w:eastAsia="SimSun"/>
          <w:color w:val="auto"/>
          <w:sz w:val="24"/>
          <w:szCs w:val="24"/>
          <w:highlight w:val="none"/>
          <w:lang w:val="pt-BR" w:eastAsia="zh-CN" w:bidi="ar"/>
        </w:rPr>
        <w:t>AGOAS (Seac/AL) e o SINDLIMP AL</w:t>
      </w:r>
      <w:r>
        <w:rPr>
          <w:rFonts w:hint="default" w:eastAsia="SimSun"/>
          <w:color w:val="auto"/>
          <w:sz w:val="24"/>
          <w:szCs w:val="24"/>
          <w:highlight w:val="none"/>
          <w:lang w:val="pt-BR" w:eastAsia="zh-CN" w:bidi="ar"/>
        </w:rPr>
        <w:t>.</w:t>
      </w:r>
    </w:p>
    <w:p>
      <w:pPr>
        <w:pStyle w:val="7"/>
        <w:spacing w:before="1" w:line="248" w:lineRule="auto"/>
        <w:ind w:right="102"/>
        <w:jc w:val="both"/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</w:pPr>
    </w:p>
    <w:p>
      <w:pPr>
        <w:pStyle w:val="7"/>
        <w:spacing w:before="1" w:line="248" w:lineRule="auto"/>
        <w:ind w:right="102"/>
        <w:jc w:val="both"/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</w:pPr>
      <w:r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  <w:t>Os tributos s</w:t>
      </w:r>
      <w:r>
        <w:rPr>
          <w:rFonts w:eastAsia="LiberationSerif"/>
          <w:color w:val="auto"/>
          <w:sz w:val="24"/>
          <w:szCs w:val="24"/>
          <w:highlight w:val="none"/>
          <w:lang w:val="pt-BR" w:eastAsia="zh-CN" w:bidi="ar"/>
        </w:rPr>
        <w:t>ão</w:t>
      </w:r>
      <w:r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  <w:t xml:space="preserve"> calculados com base no Manual de Orientação para preenchimento da planilha analítica de composição de custos e formação de preços constantes do Anexo VII-D da Instrução Normativa SEGES/MPDG nº 5, de 25 de maio de 2017.</w:t>
      </w:r>
    </w:p>
    <w:p>
      <w:pPr>
        <w:pStyle w:val="7"/>
        <w:spacing w:before="1" w:line="248" w:lineRule="auto"/>
        <w:ind w:right="102"/>
        <w:jc w:val="both"/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color w:val="auto"/>
          <w:sz w:val="24"/>
          <w:szCs w:val="24"/>
          <w:highlight w:val="none"/>
          <w:lang w:val="pt-BR"/>
        </w:rPr>
      </w:pPr>
      <w:r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  <w:t xml:space="preserve">O ISSQN será cotado conforme a legislação do município de </w:t>
      </w:r>
      <w:r>
        <w:rPr>
          <w:rFonts w:eastAsia="LiberationSerif"/>
          <w:color w:val="auto"/>
          <w:sz w:val="24"/>
          <w:szCs w:val="24"/>
          <w:highlight w:val="none"/>
          <w:lang w:val="pt-BR" w:eastAsia="zh-CN" w:bidi="ar"/>
        </w:rPr>
        <w:t>Porto Real do Colégio</w:t>
      </w:r>
      <w:r>
        <w:rPr>
          <w:rFonts w:eastAsia="LiberationSerif"/>
          <w:color w:val="auto"/>
          <w:sz w:val="24"/>
          <w:szCs w:val="24"/>
          <w:highlight w:val="none"/>
          <w:lang w:val="en-US" w:eastAsia="zh-CN" w:bidi="ar"/>
        </w:rPr>
        <w:t>.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2º. Dados de pesquisa e comparação de preços praticados pela administração pública, em mídia especializada.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Foram realizadas pesquisas de preços no “Banco de Preços” no mês de outubro/2023.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</w:pPr>
      <w:r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  <w:fldChar w:fldCharType="begin"/>
      </w:r>
      <w:r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  <w:instrText xml:space="preserve"> HYPERLINK "https://www.bancodeprecos.com.br/" </w:instrText>
      </w:r>
      <w:r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  <w:fldChar w:fldCharType="separate"/>
      </w:r>
      <w:r>
        <w:rPr>
          <w:rStyle w:val="6"/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  <w:t>https://www.bancodeprecos.com.br/</w:t>
      </w:r>
      <w:r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  <w:fldChar w:fldCharType="end"/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</w:pPr>
      <w:r>
        <w:rPr>
          <w:rFonts w:hint="default" w:eastAsia="sans-serif"/>
          <w:color w:val="auto"/>
          <w:sz w:val="24"/>
          <w:szCs w:val="24"/>
          <w:highlight w:val="none"/>
          <w:u w:val="none"/>
          <w:lang w:val="pt-BR"/>
        </w:rPr>
        <w:t>Frente à indisponibilidade de cotações de serviços idênticos aos requisitados neste ETP, algumas planilhas de custos e formação de preços foram projetadas para 20% de insalubridade e/ou exclusão de materiais de consumo.</w:t>
      </w:r>
    </w:p>
    <w:p>
      <w:pPr>
        <w:pStyle w:val="7"/>
        <w:spacing w:before="1" w:line="248" w:lineRule="auto"/>
        <w:ind w:right="102"/>
        <w:jc w:val="both"/>
        <w:rPr>
          <w:rFonts w:hint="default" w:eastAsia="sans-serif"/>
          <w:color w:val="auto"/>
          <w:sz w:val="24"/>
          <w:szCs w:val="24"/>
          <w:highlight w:val="none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color w:val="auto"/>
          <w:sz w:val="24"/>
          <w:szCs w:val="24"/>
          <w:highlight w:val="none"/>
          <w:lang w:val="pt-BR"/>
        </w:rPr>
      </w:pPr>
      <w:r>
        <w:rPr>
          <w:rFonts w:eastAsia="sans-serif"/>
          <w:color w:val="auto"/>
          <w:sz w:val="24"/>
          <w:szCs w:val="24"/>
          <w:highlight w:val="none"/>
          <w:lang w:val="pt-BR"/>
        </w:rPr>
        <w:t>Com base no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 xml:space="preserve"> Quadro Comparativo de Preços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, estima-se o valor da nova contratação 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seja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 xml:space="preserve"> de </w:t>
      </w:r>
      <w:r>
        <w:rPr>
          <w:rFonts w:hint="default" w:eastAsia="sans-serif"/>
          <w:color w:val="auto"/>
          <w:sz w:val="24"/>
          <w:szCs w:val="24"/>
          <w:highlight w:val="none"/>
          <w:lang w:val="pt-BR"/>
        </w:rPr>
        <w:t>R$ 470.463,48 (quatrocentos e setenta mil quatrocentos e sessenta e três reais e quarenta e oito centavos)</w:t>
      </w:r>
      <w:r>
        <w:rPr>
          <w:rFonts w:eastAsia="sans-serif"/>
          <w:color w:val="auto"/>
          <w:sz w:val="24"/>
          <w:szCs w:val="24"/>
          <w:highlight w:val="none"/>
          <w:lang w:val="pt-BR"/>
        </w:rPr>
        <w:t>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highlight w:val="yellow"/>
          <w:lang w:val="pt-BR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pt-BR"/>
        </w:rPr>
        <w:t xml:space="preserve"> </w:t>
      </w:r>
      <w:r>
        <w:rPr>
          <w:b/>
          <w:bCs/>
          <w:sz w:val="24"/>
          <w:szCs w:val="24"/>
        </w:rPr>
        <w:t>PARCELAMENTO</w:t>
      </w:r>
    </w:p>
    <w:p>
      <w:pPr>
        <w:rPr>
          <w:b/>
          <w:bCs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Não se verifica a possibilidade de parcelamento do objeto em estudo capaz de proporcionar ampliação da participação de licitantes, redução de custo ou o ganho de economia de escala.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2" w:beforeLines="5" w:line="248" w:lineRule="auto"/>
        <w:ind w:right="102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Ademais, de acordo com o Acórdão</w:t>
      </w:r>
      <w:r>
        <w:rPr>
          <w:rFonts w:eastAsia="SimSun"/>
          <w:sz w:val="24"/>
          <w:szCs w:val="24"/>
          <w:lang w:val="en-US" w:eastAsia="zh-CN" w:bidi="ar"/>
        </w:rPr>
        <w:t>/TCU 1214/2013-Plenário “o parcelamento de serviços não especializados, por exemplo, limpeza, jardinagem, copeiragem,</w:t>
      </w:r>
      <w:r>
        <w:rPr>
          <w:rFonts w:eastAsia="SimSun"/>
          <w:sz w:val="24"/>
          <w:szCs w:val="24"/>
          <w:lang w:val="pt-BR" w:eastAsia="zh-CN" w:bidi="ar"/>
        </w:rPr>
        <w:t xml:space="preserve"> </w:t>
      </w:r>
      <w:r>
        <w:rPr>
          <w:rFonts w:eastAsia="SimSun"/>
          <w:sz w:val="24"/>
          <w:szCs w:val="24"/>
          <w:lang w:val="en-US" w:eastAsia="zh-CN" w:bidi="ar"/>
        </w:rPr>
        <w:t>garçom, deve ser evitado.</w:t>
      </w:r>
      <w:r>
        <w:rPr>
          <w:rFonts w:eastAsia="SimSun"/>
          <w:sz w:val="24"/>
          <w:szCs w:val="24"/>
          <w:lang w:val="pt-BR" w:eastAsia="zh-CN" w:bidi="ar"/>
        </w:rPr>
        <w:t>”</w:t>
      </w:r>
      <w:r>
        <w:rPr>
          <w:rFonts w:eastAsia="SimSun"/>
          <w:sz w:val="24"/>
          <w:szCs w:val="24"/>
          <w:lang w:val="en-US" w:eastAsia="zh-CN" w:bidi="ar"/>
        </w:rPr>
        <w:t xml:space="preserve"> Cabe destacar que as empresas que atuam no ramo do mercado prestam os serviços</w:t>
      </w:r>
      <w:r>
        <w:rPr>
          <w:rFonts w:eastAsia="SimSun"/>
          <w:sz w:val="24"/>
          <w:szCs w:val="24"/>
          <w:lang w:val="pt-BR" w:eastAsia="zh-CN" w:bidi="ar"/>
        </w:rPr>
        <w:t xml:space="preserve"> em questão </w:t>
      </w:r>
      <w:r>
        <w:rPr>
          <w:rFonts w:eastAsia="SimSun"/>
          <w:sz w:val="24"/>
          <w:szCs w:val="24"/>
          <w:lang w:val="en-US" w:eastAsia="zh-CN" w:bidi="ar"/>
        </w:rPr>
        <w:t>sem a necessidade de uma especialização mais direcionada</w:t>
      </w:r>
      <w:r>
        <w:rPr>
          <w:rFonts w:eastAsia="SimSun"/>
          <w:sz w:val="24"/>
          <w:szCs w:val="24"/>
          <w:lang w:val="pt-BR" w:eastAsia="zh-CN" w:bidi="ar"/>
        </w:rPr>
        <w:t>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CORRELAÇÃO E INTERDEPENDENCIA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Não se verifica contratações correlatas ou com alguma dependência com o objeto em estudo.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ALINHAMENTO INTITUCIONAL</w:t>
      </w:r>
    </w:p>
    <w:p>
      <w:pPr>
        <w:rPr>
          <w:b/>
          <w:bCs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A contratação dos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sans-serif"/>
          <w:sz w:val="24"/>
          <w:szCs w:val="24"/>
          <w:lang w:val="pt-BR"/>
        </w:rPr>
        <w:t xml:space="preserve"> para o </w:t>
      </w:r>
      <w:r>
        <w:rPr>
          <w:rFonts w:eastAsia="SimSun"/>
          <w:sz w:val="24"/>
          <w:szCs w:val="24"/>
          <w:lang w:val="pt-BR"/>
        </w:rPr>
        <w:t>Centro Integrado de Recursos Pesqueiros e Aquicultura de Itiúba</w:t>
      </w:r>
      <w:r>
        <w:rPr>
          <w:rFonts w:eastAsia="sans-serif"/>
          <w:sz w:val="24"/>
          <w:szCs w:val="24"/>
          <w:lang w:val="pt-BR"/>
        </w:rPr>
        <w:t xml:space="preserve"> está alinhada com o </w:t>
      </w:r>
      <w:r>
        <w:rPr>
          <w:sz w:val="24"/>
          <w:szCs w:val="24"/>
          <w:lang w:val="pt-BR"/>
        </w:rPr>
        <w:t>Planejamento Estratégico Institucional  - PEI (2022- 2026)</w:t>
      </w:r>
      <w:r>
        <w:rPr>
          <w:rFonts w:eastAsia="sans-serif"/>
          <w:sz w:val="24"/>
          <w:szCs w:val="24"/>
          <w:lang w:val="pt-BR"/>
        </w:rPr>
        <w:t>: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− Linha de Negócio:</w:t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>Economia Sustentável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− Setor:</w:t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 xml:space="preserve">Inclusão Produtiva 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− Intervenções: </w:t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>Apoio à estruturação de Arranjos Produtivos Locais</w:t>
      </w:r>
    </w:p>
    <w:p>
      <w:pPr>
        <w:pStyle w:val="7"/>
        <w:spacing w:before="1" w:line="248" w:lineRule="auto"/>
        <w:ind w:left="1440" w:right="102" w:firstLine="720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Operação dos Centros Integrados de Recursos Pesqueiros e Aquicultura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− Benefícios:</w:t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>Geração de emprego, renda, produção agrícola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− Público Alvo:</w:t>
      </w:r>
      <w:r>
        <w:rPr>
          <w:rFonts w:eastAsia="sans-serif"/>
          <w:sz w:val="24"/>
          <w:szCs w:val="24"/>
          <w:lang w:val="pt-BR"/>
        </w:rPr>
        <w:tab/>
      </w:r>
      <w:r>
        <w:rPr>
          <w:rFonts w:eastAsia="sans-serif"/>
          <w:sz w:val="24"/>
          <w:szCs w:val="24"/>
          <w:lang w:val="pt-BR"/>
        </w:rPr>
        <w:t>Pequenos e médios produtores rurais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rPr>
          <w:b/>
          <w:bCs/>
          <w:sz w:val="24"/>
          <w:szCs w:val="24"/>
        </w:rPr>
      </w:pPr>
      <w:r>
        <w:fldChar w:fldCharType="begin"/>
      </w:r>
      <w:r>
        <w:instrText xml:space="preserve"> HYPERLINK "https://www.codevasf.gov.br/acesso-a-informacao/institucional/legislacao/planejamento-programas-planos-e-cartas/planejamento/planejamento-estrategico-institucional-2022-2026.pdf" </w:instrText>
      </w:r>
      <w:r>
        <w:fldChar w:fldCharType="separate"/>
      </w:r>
      <w:r>
        <w:rPr>
          <w:rStyle w:val="5"/>
          <w:b/>
          <w:bCs/>
          <w:sz w:val="24"/>
          <w:szCs w:val="24"/>
        </w:rPr>
        <w:t>https://www.codevasf.gov.br/acesso-a-informacao/institucional/legislacao/planejamento-programas-planos-e-cartas/planejamento/planejamento-estrategico-institucional-2022-2026.pdf</w:t>
      </w:r>
      <w:r>
        <w:rPr>
          <w:rStyle w:val="5"/>
          <w:b/>
          <w:bCs/>
          <w:sz w:val="24"/>
          <w:szCs w:val="24"/>
        </w:rPr>
        <w:fldChar w:fldCharType="end"/>
      </w:r>
    </w:p>
    <w:p>
      <w:pPr>
        <w:rPr>
          <w:b/>
          <w:bCs/>
          <w:sz w:val="24"/>
          <w:szCs w:val="24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RESULTADOS PRETENDIDOS</w:t>
      </w:r>
    </w:p>
    <w:p>
      <w:pPr>
        <w:rPr>
          <w:b/>
          <w:bCs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 xml:space="preserve">Os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sans-serif"/>
          <w:sz w:val="24"/>
          <w:szCs w:val="24"/>
          <w:lang w:val="pt-BR"/>
        </w:rPr>
        <w:t xml:space="preserve"> em estudo permitirão a continuidade da atividade  produtiva desenvolvida no </w:t>
      </w:r>
      <w:r>
        <w:rPr>
          <w:rFonts w:eastAsia="SimSun"/>
          <w:sz w:val="24"/>
          <w:szCs w:val="24"/>
          <w:lang w:val="pt-BR"/>
        </w:rPr>
        <w:t>Centro Integrado de Recursos Pesqueiros e Aquicultura de Itiúba</w:t>
      </w:r>
      <w:r>
        <w:rPr>
          <w:rFonts w:eastAsia="sans-serif"/>
          <w:sz w:val="24"/>
          <w:szCs w:val="24"/>
          <w:lang w:val="pt-BR"/>
        </w:rPr>
        <w:t xml:space="preserve"> com consequentes criação de emprego e geração de renda, trazendo melhorias econômicas e sociais para a população.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</w:p>
    <w:p>
      <w:pPr>
        <w:pStyle w:val="7"/>
        <w:spacing w:line="244" w:lineRule="auto"/>
        <w:ind w:right="108"/>
        <w:jc w:val="both"/>
        <w:rPr>
          <w:rFonts w:eastAsia="Times-Roman"/>
          <w:sz w:val="24"/>
          <w:szCs w:val="24"/>
          <w:lang w:val="en-US" w:eastAsia="zh-CN" w:bidi="ar"/>
        </w:rPr>
      </w:pPr>
      <w:r>
        <w:rPr>
          <w:rFonts w:eastAsia="Times-Roman"/>
          <w:sz w:val="24"/>
          <w:szCs w:val="24"/>
          <w:lang w:val="en-US" w:eastAsia="zh-CN" w:bidi="ar"/>
        </w:rPr>
        <w:t xml:space="preserve">Com o </w:t>
      </w:r>
      <w:r>
        <w:rPr>
          <w:rFonts w:eastAsia="Times-Roman"/>
          <w:sz w:val="24"/>
          <w:szCs w:val="24"/>
          <w:lang w:val="pt-BR" w:eastAsia="zh-CN" w:bidi="ar"/>
        </w:rPr>
        <w:t>escopo</w:t>
      </w:r>
      <w:r>
        <w:rPr>
          <w:rFonts w:eastAsia="Times-Roman"/>
          <w:sz w:val="24"/>
          <w:szCs w:val="24"/>
          <w:lang w:val="en-US" w:eastAsia="zh-CN" w:bidi="ar"/>
        </w:rPr>
        <w:t xml:space="preserve"> da contratação de </w:t>
      </w:r>
      <w:r>
        <w:rPr>
          <w:rFonts w:eastAsia="Times-Roman"/>
          <w:sz w:val="24"/>
          <w:szCs w:val="24"/>
          <w:lang w:val="pt-BR" w:eastAsia="zh-CN" w:bidi="ar"/>
        </w:rPr>
        <w:t xml:space="preserve">prestação </w:t>
      </w:r>
      <w:r>
        <w:rPr>
          <w:rFonts w:eastAsia="sans-serif"/>
          <w:sz w:val="24"/>
          <w:szCs w:val="24"/>
          <w:lang w:val="pt-BR"/>
        </w:rPr>
        <w:t xml:space="preserve">de serviços 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Times-Roman"/>
          <w:sz w:val="24"/>
          <w:szCs w:val="24"/>
          <w:lang w:val="pt-BR" w:eastAsia="zh-CN" w:bidi="ar"/>
        </w:rPr>
        <w:t xml:space="preserve"> do 5ª/CII</w:t>
      </w:r>
      <w:r>
        <w:rPr>
          <w:rFonts w:eastAsia="Times-Roman"/>
          <w:sz w:val="24"/>
          <w:szCs w:val="24"/>
          <w:lang w:val="en-US" w:eastAsia="zh-CN" w:bidi="ar"/>
        </w:rPr>
        <w:t xml:space="preserve"> realizado ao longo deste ETP, pretende-se alcançar os seguintes resultados: </w:t>
      </w:r>
    </w:p>
    <w:p>
      <w:pPr>
        <w:pStyle w:val="7"/>
        <w:spacing w:before="120" w:beforeLines="50" w:after="120" w:afterLines="50" w:line="245" w:lineRule="auto"/>
        <w:ind w:left="440" w:leftChars="200" w:right="108"/>
        <w:jc w:val="both"/>
        <w:rPr>
          <w:rFonts w:eastAsia="Times-Roman"/>
          <w:sz w:val="24"/>
          <w:szCs w:val="24"/>
          <w:lang w:val="en-US" w:eastAsia="zh-CN" w:bidi="ar"/>
        </w:rPr>
      </w:pPr>
      <w:r>
        <w:rPr>
          <w:rFonts w:eastAsia="Times-Roman"/>
          <w:sz w:val="24"/>
          <w:szCs w:val="24"/>
          <w:lang w:val="pt-BR" w:eastAsia="zh-CN" w:bidi="ar"/>
        </w:rPr>
        <w:t xml:space="preserve">- </w:t>
      </w:r>
      <w:r>
        <w:rPr>
          <w:rFonts w:eastAsia="Times-Roman"/>
          <w:sz w:val="24"/>
          <w:szCs w:val="24"/>
          <w:lang w:val="en-US" w:eastAsia="zh-CN" w:bidi="ar"/>
        </w:rPr>
        <w:t xml:space="preserve">Racionalizar o processo de gestão e fiscalização do contrato, com indicadores orientados a resultados e à qualidade; </w:t>
      </w:r>
    </w:p>
    <w:p>
      <w:pPr>
        <w:pStyle w:val="7"/>
        <w:spacing w:before="120" w:beforeLines="50" w:after="120" w:afterLines="50" w:line="245" w:lineRule="auto"/>
        <w:ind w:left="440" w:leftChars="200" w:right="108"/>
        <w:jc w:val="both"/>
        <w:rPr>
          <w:rFonts w:eastAsia="Times-Roman"/>
          <w:sz w:val="24"/>
          <w:szCs w:val="24"/>
          <w:lang w:val="en-US" w:eastAsia="zh-CN" w:bidi="ar"/>
        </w:rPr>
      </w:pPr>
      <w:r>
        <w:rPr>
          <w:rFonts w:eastAsia="Times-Roman"/>
          <w:sz w:val="24"/>
          <w:szCs w:val="24"/>
          <w:lang w:val="pt-BR" w:eastAsia="zh-CN" w:bidi="ar"/>
        </w:rPr>
        <w:t xml:space="preserve">- </w:t>
      </w:r>
      <w:r>
        <w:rPr>
          <w:rFonts w:eastAsia="Times-Roman"/>
          <w:sz w:val="24"/>
          <w:szCs w:val="24"/>
          <w:lang w:val="en-US" w:eastAsia="zh-CN" w:bidi="ar"/>
        </w:rPr>
        <w:t xml:space="preserve">Otimizar as atividades de fiscalização e gestão contratuais, com o suporte tecnológico, com vistas a reduzir custos administrativos e riscos de erros; </w:t>
      </w:r>
    </w:p>
    <w:p>
      <w:pPr>
        <w:pStyle w:val="7"/>
        <w:spacing w:before="120" w:beforeLines="50" w:after="120" w:afterLines="50" w:line="245" w:lineRule="auto"/>
        <w:ind w:left="440" w:leftChars="200" w:right="108"/>
        <w:jc w:val="both"/>
        <w:rPr>
          <w:rFonts w:eastAsia="Times-Roman"/>
          <w:sz w:val="24"/>
          <w:szCs w:val="24"/>
          <w:lang w:val="en-US" w:eastAsia="zh-CN" w:bidi="ar"/>
        </w:rPr>
      </w:pPr>
      <w:r>
        <w:rPr>
          <w:rFonts w:eastAsia="Times-Roman"/>
          <w:sz w:val="24"/>
          <w:szCs w:val="24"/>
          <w:lang w:val="pt-BR" w:eastAsia="zh-CN" w:bidi="ar"/>
        </w:rPr>
        <w:t xml:space="preserve">- </w:t>
      </w:r>
      <w:r>
        <w:rPr>
          <w:rFonts w:eastAsia="Times-Roman"/>
          <w:sz w:val="24"/>
          <w:szCs w:val="24"/>
          <w:lang w:val="en-US" w:eastAsia="zh-CN" w:bidi="ar"/>
        </w:rPr>
        <w:t xml:space="preserve">Incentivar a participação, no processo licitatório, de fornecedores especializados; </w:t>
      </w:r>
    </w:p>
    <w:p>
      <w:pPr>
        <w:pStyle w:val="7"/>
        <w:spacing w:before="120" w:beforeLines="50" w:after="120" w:afterLines="50" w:line="245" w:lineRule="auto"/>
        <w:ind w:left="440" w:leftChars="200" w:right="108"/>
        <w:jc w:val="both"/>
        <w:rPr>
          <w:rFonts w:eastAsia="Times-Roman"/>
          <w:sz w:val="24"/>
          <w:szCs w:val="24"/>
          <w:lang w:val="en-US" w:eastAsia="zh-CN" w:bidi="ar"/>
        </w:rPr>
      </w:pPr>
      <w:r>
        <w:rPr>
          <w:rFonts w:eastAsia="Times-Roman"/>
          <w:sz w:val="24"/>
          <w:szCs w:val="24"/>
          <w:lang w:val="pt-BR" w:eastAsia="zh-CN" w:bidi="ar"/>
        </w:rPr>
        <w:t>- R</w:t>
      </w:r>
      <w:r>
        <w:rPr>
          <w:rFonts w:eastAsia="Times-Roman"/>
          <w:sz w:val="24"/>
          <w:szCs w:val="24"/>
          <w:lang w:val="en-US" w:eastAsia="zh-CN" w:bidi="ar"/>
        </w:rPr>
        <w:t>eduzir custos da contratação em decorrência do aumento da produtividade e da racionalização das rotinas de execução do serviço;</w:t>
      </w:r>
    </w:p>
    <w:p>
      <w:pPr>
        <w:pStyle w:val="7"/>
        <w:spacing w:before="120" w:beforeLines="50" w:after="120" w:afterLines="50" w:line="245" w:lineRule="auto"/>
        <w:ind w:left="440" w:leftChars="200" w:right="108"/>
        <w:jc w:val="both"/>
        <w:rPr>
          <w:rFonts w:eastAsia="Times-Roman"/>
          <w:sz w:val="24"/>
          <w:szCs w:val="24"/>
          <w:lang w:val="pt-BR" w:eastAsia="zh-CN" w:bidi="ar"/>
        </w:rPr>
      </w:pPr>
      <w:r>
        <w:rPr>
          <w:rFonts w:eastAsia="Times-Roman"/>
          <w:sz w:val="24"/>
          <w:szCs w:val="24"/>
          <w:lang w:val="pt-BR" w:eastAsia="zh-CN" w:bidi="ar"/>
        </w:rPr>
        <w:t>- Melhorar conservação da infraestrutura de uso comum e reduzir custos de manutenção.</w:t>
      </w:r>
    </w:p>
    <w:p>
      <w:pPr>
        <w:pStyle w:val="7"/>
        <w:rPr>
          <w:sz w:val="24"/>
          <w:szCs w:val="24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ETAPAS PRELIMINARES</w:t>
      </w:r>
    </w:p>
    <w:p>
      <w:pPr>
        <w:rPr>
          <w:b/>
          <w:bCs/>
          <w:sz w:val="24"/>
          <w:szCs w:val="24"/>
        </w:rPr>
      </w:pP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a) Termo de Referência com Especificações Técnicas, Orçamento e Matriz de Risco;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b) Parecer técnico e de custos;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c) Minuta de edital e de contrato;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d) Parecer jurídico;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e) Autorização da Autoridade Competente;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f) Publicação e período convocatório;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g) Certame licitatório com respectivas etapas recursais;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h) Homologação e adjudicação;</w:t>
      </w:r>
    </w:p>
    <w:p>
      <w:pPr>
        <w:pStyle w:val="7"/>
        <w:spacing w:before="1" w:line="248" w:lineRule="auto"/>
        <w:ind w:right="102"/>
        <w:jc w:val="both"/>
        <w:rPr>
          <w:rFonts w:eastAsia="sans-serif"/>
          <w:sz w:val="24"/>
          <w:szCs w:val="24"/>
          <w:lang w:val="pt-BR"/>
        </w:rPr>
      </w:pPr>
      <w:r>
        <w:rPr>
          <w:rFonts w:eastAsia="sans-serif"/>
          <w:sz w:val="24"/>
          <w:szCs w:val="24"/>
          <w:lang w:val="pt-BR"/>
        </w:rPr>
        <w:t>i) Contratação.</w:t>
      </w:r>
    </w:p>
    <w:p>
      <w:pPr>
        <w:rPr>
          <w:b/>
          <w:bCs/>
          <w:sz w:val="24"/>
          <w:szCs w:val="24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IMPACTOS E TRATAMENTOS AMBIETAIS</w:t>
      </w:r>
    </w:p>
    <w:p>
      <w:pPr>
        <w:pStyle w:val="7"/>
        <w:spacing w:line="244" w:lineRule="auto"/>
        <w:ind w:right="108"/>
        <w:jc w:val="both"/>
        <w:rPr>
          <w:sz w:val="24"/>
          <w:szCs w:val="24"/>
          <w:lang w:val="pt-BR"/>
        </w:rPr>
      </w:pP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en-US" w:eastAsia="zh-CN" w:bidi="ar"/>
        </w:rPr>
      </w:pPr>
      <w:r>
        <w:rPr>
          <w:rFonts w:eastAsia="LiberationSerif"/>
          <w:sz w:val="24"/>
          <w:szCs w:val="24"/>
          <w:lang w:val="en-US" w:eastAsia="zh-CN" w:bidi="ar"/>
        </w:rPr>
        <w:t>Os possíveis impactos ambientais gerados pela presente contratação estão relacionados aos produtos utilizados para limpeza, ao descarte de suas embalagens e a outros resíduos gerados no decorrer do contrato. Nesse sentido, a Contratada deve adotar práticas de otimização de recursos/redução de desperdícios/menor poluição, bem como práticas de sustentabilidade na execução dos serviços</w:t>
      </w:r>
      <w:r>
        <w:rPr>
          <w:rFonts w:eastAsia="LiberationSerif"/>
          <w:sz w:val="24"/>
          <w:szCs w:val="24"/>
          <w:lang w:val="pt-BR" w:eastAsia="zh-CN" w:bidi="ar"/>
        </w:rPr>
        <w:t>.</w:t>
      </w:r>
      <w:r>
        <w:rPr>
          <w:rFonts w:eastAsia="LiberationSerif"/>
          <w:sz w:val="24"/>
          <w:szCs w:val="24"/>
          <w:lang w:val="en-US" w:eastAsia="zh-CN" w:bidi="ar"/>
        </w:rPr>
        <w:t xml:space="preserve"> </w:t>
      </w: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en-US" w:eastAsia="zh-CN" w:bidi="ar"/>
        </w:rPr>
      </w:pP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en-US" w:eastAsia="zh-CN"/>
        </w:rPr>
      </w:pPr>
      <w:r>
        <w:rPr>
          <w:rFonts w:eastAsia="LiberationSerif"/>
          <w:sz w:val="24"/>
          <w:szCs w:val="24"/>
          <w:lang w:val="en-US" w:eastAsia="zh-CN"/>
        </w:rPr>
        <w:t xml:space="preserve">Os critérios de sustentabilidade ambiental para a prestação dos serviços </w:t>
      </w:r>
      <w:r>
        <w:rPr>
          <w:rFonts w:eastAsia="sans-serif"/>
          <w:sz w:val="24"/>
          <w:szCs w:val="24"/>
          <w:lang w:val="pt-BR"/>
        </w:rPr>
        <w:t xml:space="preserve">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LiberationSerif"/>
          <w:sz w:val="24"/>
          <w:szCs w:val="24"/>
          <w:lang w:val="en-US" w:eastAsia="zh-CN"/>
        </w:rPr>
        <w:t xml:space="preserve"> em estudo</w:t>
      </w:r>
      <w:r>
        <w:rPr>
          <w:rFonts w:eastAsia="LiberationSerif"/>
          <w:sz w:val="24"/>
          <w:szCs w:val="24"/>
          <w:lang w:val="pt-BR" w:eastAsia="zh-CN"/>
        </w:rPr>
        <w:t xml:space="preserve"> </w:t>
      </w:r>
      <w:r>
        <w:rPr>
          <w:rFonts w:eastAsia="LiberationSerif"/>
          <w:sz w:val="24"/>
          <w:szCs w:val="24"/>
          <w:lang w:val="en-US" w:eastAsia="zh-CN"/>
        </w:rPr>
        <w:t>serão detalhados no Termo de Referência (TR).</w:t>
      </w: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CONCLUSÃO</w:t>
      </w: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en-US" w:eastAsia="zh-CN"/>
        </w:rPr>
      </w:pP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pt-BR" w:eastAsia="zh-CN"/>
        </w:rPr>
      </w:pPr>
      <w:r>
        <w:rPr>
          <w:rFonts w:eastAsia="LiberationSerif"/>
          <w:sz w:val="24"/>
          <w:szCs w:val="24"/>
          <w:lang w:val="en-US" w:eastAsia="zh-CN"/>
        </w:rPr>
        <w:t xml:space="preserve">Diante do exposto, entende-se que a contratação dos serviços </w:t>
      </w:r>
      <w:r>
        <w:rPr>
          <w:rFonts w:eastAsia="sans-serif"/>
          <w:sz w:val="24"/>
          <w:szCs w:val="24"/>
          <w:lang w:val="pt-BR"/>
        </w:rPr>
        <w:t xml:space="preserve">de </w:t>
      </w:r>
      <w:r>
        <w:rPr>
          <w:rFonts w:eastAsia="serif"/>
          <w:sz w:val="24"/>
          <w:szCs w:val="24"/>
          <w:lang w:val="pt-BR"/>
        </w:rPr>
        <w:t>limpeza, conservação e manutenção</w:t>
      </w:r>
      <w:r>
        <w:rPr>
          <w:rFonts w:eastAsia="LiberationSerif"/>
          <w:sz w:val="24"/>
          <w:szCs w:val="24"/>
          <w:lang w:val="en-US" w:eastAsia="zh-CN"/>
        </w:rPr>
        <w:t xml:space="preserve"> </w:t>
      </w:r>
      <w:r>
        <w:rPr>
          <w:rFonts w:eastAsia="LiberationSerif"/>
          <w:sz w:val="24"/>
          <w:szCs w:val="24"/>
          <w:lang w:val="pt-BR" w:eastAsia="zh-CN"/>
        </w:rPr>
        <w:t xml:space="preserve">do </w:t>
      </w:r>
      <w:r>
        <w:rPr>
          <w:rFonts w:eastAsia="SimSun"/>
          <w:sz w:val="24"/>
          <w:szCs w:val="24"/>
          <w:lang w:val="pt-BR"/>
        </w:rPr>
        <w:t>Centro Integrado de Recursos Pesqueiros e Aquicultura de Itiúba</w:t>
      </w:r>
      <w:r>
        <w:rPr>
          <w:rFonts w:eastAsia="LiberationSerif"/>
          <w:sz w:val="24"/>
          <w:szCs w:val="24"/>
          <w:lang w:val="en-US" w:eastAsia="zh-CN"/>
        </w:rPr>
        <w:t>, é viável e necessária para a continuidade da</w:t>
      </w:r>
      <w:r>
        <w:rPr>
          <w:rFonts w:eastAsia="LiberationSerif"/>
          <w:sz w:val="24"/>
          <w:szCs w:val="24"/>
          <w:lang w:val="pt-BR" w:eastAsia="zh-CN"/>
        </w:rPr>
        <w:t>s</w:t>
      </w:r>
      <w:r>
        <w:rPr>
          <w:rFonts w:eastAsia="LiberationSerif"/>
          <w:sz w:val="24"/>
          <w:szCs w:val="24"/>
          <w:lang w:val="en-US" w:eastAsia="zh-CN"/>
        </w:rPr>
        <w:t xml:space="preserve"> atividade</w:t>
      </w:r>
      <w:r>
        <w:rPr>
          <w:rFonts w:eastAsia="LiberationSerif"/>
          <w:sz w:val="24"/>
          <w:szCs w:val="24"/>
          <w:lang w:val="pt-BR" w:eastAsia="zh-CN"/>
        </w:rPr>
        <w:t>s</w:t>
      </w:r>
      <w:r>
        <w:rPr>
          <w:rFonts w:eastAsia="LiberationSerif"/>
          <w:sz w:val="24"/>
          <w:szCs w:val="24"/>
          <w:lang w:val="en-US" w:eastAsia="zh-CN"/>
        </w:rPr>
        <w:t xml:space="preserve"> produtiva</w:t>
      </w:r>
      <w:r>
        <w:rPr>
          <w:rFonts w:eastAsia="LiberationSerif"/>
          <w:sz w:val="24"/>
          <w:szCs w:val="24"/>
          <w:lang w:val="pt-BR" w:eastAsia="zh-CN"/>
        </w:rPr>
        <w:t>s</w:t>
      </w:r>
      <w:r>
        <w:rPr>
          <w:rFonts w:eastAsia="LiberationSerif"/>
          <w:sz w:val="24"/>
          <w:szCs w:val="24"/>
          <w:lang w:val="en-US" w:eastAsia="zh-CN"/>
        </w:rPr>
        <w:t xml:space="preserve"> nesse </w:t>
      </w:r>
      <w:r>
        <w:rPr>
          <w:rFonts w:eastAsia="LiberationSerif"/>
          <w:sz w:val="24"/>
          <w:szCs w:val="24"/>
          <w:lang w:val="pt-BR" w:eastAsia="zh-CN"/>
        </w:rPr>
        <w:t>Centro.</w:t>
      </w:r>
    </w:p>
    <w:p>
      <w:pPr>
        <w:pStyle w:val="7"/>
        <w:spacing w:line="244" w:lineRule="auto"/>
        <w:ind w:right="110"/>
        <w:jc w:val="both"/>
        <w:rPr>
          <w:rFonts w:eastAsia="LiberationSerif"/>
          <w:sz w:val="24"/>
          <w:szCs w:val="24"/>
          <w:lang w:val="pt-BR" w:eastAsia="zh-CN"/>
        </w:rPr>
      </w:pPr>
    </w:p>
    <w:p>
      <w:pPr>
        <w:pStyle w:val="7"/>
        <w:spacing w:before="4"/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8"/>
        <w:gridCol w:w="5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8" w:type="dxa"/>
            <w:tcBorders>
              <w:tl2br w:val="nil"/>
              <w:tr2bl w:val="nil"/>
            </w:tcBorders>
          </w:tcPr>
          <w:p>
            <w:pPr>
              <w:spacing w:before="162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Responsável</w:t>
            </w:r>
            <w:r>
              <w:rPr>
                <w:b/>
                <w:spacing w:val="2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pelas</w:t>
            </w:r>
            <w:r>
              <w:rPr>
                <w:b/>
                <w:spacing w:val="18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informações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028" w:type="dxa"/>
            <w:tcBorders>
              <w:tl2br w:val="nil"/>
              <w:tr2bl w:val="nil"/>
            </w:tcBorders>
          </w:tcPr>
          <w:p>
            <w:pPr>
              <w:spacing w:before="162"/>
              <w:jc w:val="center"/>
              <w:rPr>
                <w:i/>
                <w:iCs/>
                <w:color w:val="FF0000"/>
                <w:sz w:val="20"/>
                <w:szCs w:val="20"/>
                <w:lang w:val="pt-BR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pt-BR"/>
              </w:rPr>
              <w:t>Documento assinado eletronicamente</w:t>
            </w:r>
          </w:p>
          <w:p>
            <w:pPr>
              <w:spacing w:before="162"/>
              <w:jc w:val="center"/>
              <w:rPr>
                <w:rFonts w:eastAsia="SimSun"/>
                <w:sz w:val="20"/>
                <w:szCs w:val="20"/>
                <w:lang w:val="pt-BR"/>
              </w:rPr>
            </w:pPr>
            <w:r>
              <w:rPr>
                <w:rFonts w:eastAsia="SimSun"/>
                <w:sz w:val="20"/>
                <w:szCs w:val="20"/>
                <w:lang w:val="pt-BR"/>
              </w:rPr>
              <w:t>Matheus Campos Félix                                               Analista em Desenvolvimento Regional – 5ª/CII CODEVASF 5ª SR</w:t>
            </w:r>
          </w:p>
        </w:tc>
      </w:tr>
    </w:tbl>
    <w:p>
      <w:pPr>
        <w:spacing w:before="162" w:line="360" w:lineRule="auto"/>
        <w:jc w:val="both"/>
        <w:rPr>
          <w:b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8"/>
        <w:gridCol w:w="5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8" w:type="dxa"/>
            <w:tcBorders>
              <w:tl2br w:val="nil"/>
              <w:tr2bl w:val="nil"/>
            </w:tcBorders>
          </w:tcPr>
          <w:p>
            <w:pPr>
              <w:spacing w:before="162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t-BR"/>
              </w:rPr>
              <w:t>De acordo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028" w:type="dxa"/>
            <w:tcBorders>
              <w:tl2br w:val="nil"/>
              <w:tr2bl w:val="nil"/>
            </w:tcBorders>
          </w:tcPr>
          <w:p>
            <w:pPr>
              <w:spacing w:before="162"/>
              <w:jc w:val="center"/>
              <w:rPr>
                <w:i/>
                <w:iCs/>
                <w:color w:val="FF0000"/>
                <w:sz w:val="20"/>
                <w:szCs w:val="20"/>
                <w:lang w:val="pt-BR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pt-BR"/>
              </w:rPr>
              <w:t>Documento assinado eletronicamente</w:t>
            </w:r>
          </w:p>
          <w:p>
            <w:pPr>
              <w:spacing w:before="162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 </w:t>
            </w:r>
            <w:r>
              <w:rPr>
                <w:rFonts w:eastAsia="SimSun"/>
                <w:sz w:val="20"/>
                <w:szCs w:val="20"/>
                <w:lang w:val="pt-BR"/>
              </w:rPr>
              <w:t>Vinícius Augusto Dias Filho                                        Chefe do 5ª/CII                                                   CODEVASF 5ª SR</w:t>
            </w:r>
          </w:p>
        </w:tc>
      </w:tr>
    </w:tbl>
    <w:p>
      <w:pPr>
        <w:pStyle w:val="7"/>
        <w:spacing w:line="20" w:lineRule="exact"/>
        <w:rPr>
          <w:sz w:val="24"/>
          <w:szCs w:val="24"/>
        </w:rPr>
      </w:pPr>
    </w:p>
    <w:sectPr>
      <w:headerReference r:id="rId3" w:type="default"/>
      <w:footerReference r:id="rId4" w:type="default"/>
      <w:pgSz w:w="12240" w:h="15840"/>
      <w:pgMar w:top="1702" w:right="960" w:bottom="1020" w:left="1440" w:header="270" w:footer="83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5"/>
      <w:ind w:left="20"/>
      <w:rPr>
        <w:b/>
        <w:sz w:val="13"/>
      </w:rPr>
    </w:pPr>
    <w:r>
      <w:rPr>
        <w:b/>
        <w:sz w:val="13"/>
      </w:rPr>
      <w:t>FOR-003</w:t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rPr>
        <w:lang w:val="pt-BR"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1011555</wp:posOffset>
          </wp:positionH>
          <wp:positionV relativeFrom="page">
            <wp:posOffset>474980</wp:posOffset>
          </wp:positionV>
          <wp:extent cx="1499870" cy="300355"/>
          <wp:effectExtent l="0" t="0" r="0" b="0"/>
          <wp:wrapNone/>
          <wp:docPr id="2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9615" cy="3002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6336665</wp:posOffset>
              </wp:positionH>
              <wp:positionV relativeFrom="page">
                <wp:posOffset>158750</wp:posOffset>
              </wp:positionV>
              <wp:extent cx="1430020" cy="278765"/>
              <wp:effectExtent l="0" t="0" r="0" b="0"/>
              <wp:wrapNone/>
              <wp:docPr id="4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002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4" w:line="271" w:lineRule="auto"/>
                            <w:ind w:left="20" w:firstLine="895"/>
                            <w:rPr>
                              <w:rFonts w:ascii="Cambria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left:498.95pt;margin-top:12.5pt;height:21.95pt;width:112.6pt;mso-position-horizontal-relative:page;mso-position-vertical-relative:page;z-index:-251656192;mso-width-relative:page;mso-height-relative:page;" filled="f" stroked="f" coordsize="21600,21600" o:gfxdata="UEsDBAoAAAAAAIdO4kAAAAAAAAAAAAAAAAAEAAAAZHJzL1BLAwQUAAAACACHTuJAowxXhNkAAAAK&#10;AQAADwAAAGRycy9kb3ducmV2LnhtbE2Py07DMBBF90j9B2sqsaN2ggh1iFMhBCskRBoWLJ14mkSN&#10;xyF2H/w97oouR3N077nF5mxHdsTZD44UJCsBDKl1ZqBOwVf9drcG5oMmo0dHqOAXPWzKxU2hc+NO&#10;VOFxGzoWQ8jnWkEfwpRz7tserfYrNyHF387NVod4zh03sz7FcDvyVIiMWz1QbOj1hC89tvvtwSp4&#10;/qbqdfj5aD6rXTXUtRT0nu2Vul0m4glYwHP4h+GiH9WhjE6NO5DxbFQg5aOMqIL0IW66AGl6nwBr&#10;FGRrCbws+PWE8g9QSwMEFAAAAAgAh07iQOoZwcD9AQAABAQAAA4AAABkcnMvZTJvRG9jLnhtbK1T&#10;wW7bMAy9D9g/CLovdrKuLYw4Rdegw4BuHdDuAxhZjoVZokYpsbuvHyUnWdddethFoCTq8b1Hank1&#10;2l7sNQWDrpbzWSmFdgob47a1/P54++5SihDBNdCj07V80kFerd6+WQ6+0gvssG80CQZxoRp8LbsY&#10;fVUUQXXaQpih144vWyQLkbe0LRqCgdFtXyzK8rwYkBpPqHQIfLqeLuUBkV4DiG1rlF6j2lnt4oRK&#10;uofIkkJnfJCrzLZttYr3bRt0FH0tWWnMKxfheJPWYrWEakvgO6MOFOA1FF5osmAcFz1BrSGC2JH5&#10;B8oaRRiwjTOFtpiEZEdYxbx84c1DB15nLWx18CfTw/+DVV/330iYppZnUjiw3PBHPUbxEUfxIbkz&#10;+FBx0oPntDjyMc9MVhr8HaofQTi86cBt9TURDp2GhtnN08vi2dMJJySQzfAFGy4Du4gZaGzJJuvY&#10;DMHo3JmnU2cSFZVKnr0vywVfKb5bXFxenGdyBVTH155C/KTRihTUkrjzGR32dyEmNlAdU1Ixh7em&#10;73P3e/fXASemk8w+EZ6ox3EzHtzYYPPEOginYeKvxEGH9EuKgQepluHnDkhL0X927EWaumNAx2Bz&#10;DMApflrLKMUU3sRpOneezLZj5Mlth9fsV2uylGTsxOLAk4cjKzwMcpq+5/uc9efzrn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wxXhNkAAAAKAQAADwAAAAAAAAABACAAAAAiAAAAZHJzL2Rvd25y&#10;ZXYueG1sUEsBAhQAFAAAAAgAh07iQOoZwcD9AQAABAQAAA4AAAAAAAAAAQAgAAAAKA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4" w:line="271" w:lineRule="auto"/>
                      <w:ind w:left="20" w:firstLine="895"/>
                      <w:rPr>
                        <w:rFonts w:ascii="Cambria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2780665</wp:posOffset>
              </wp:positionH>
              <wp:positionV relativeFrom="page">
                <wp:posOffset>462915</wp:posOffset>
              </wp:positionV>
              <wp:extent cx="4197985" cy="323850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798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8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105"/>
                              <w:sz w:val="20"/>
                            </w:rPr>
                            <w:t>Ministério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Desenvolvimento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Regional</w:t>
                          </w:r>
                          <w:r>
                            <w:rPr>
                              <w:b/>
                              <w:spacing w:val="-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MDR</w:t>
                          </w:r>
                        </w:p>
                        <w:p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1"/>
                              <w:w w:val="105"/>
                              <w:sz w:val="20"/>
                            </w:rPr>
                            <w:t>Companhia</w:t>
                          </w:r>
                          <w:r>
                            <w:rPr>
                              <w:b/>
                              <w:spacing w:val="-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"/>
                              <w:w w:val="105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9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"/>
                              <w:w w:val="105"/>
                              <w:sz w:val="20"/>
                            </w:rPr>
                            <w:t>Desenvolvimento</w:t>
                          </w:r>
                          <w:r>
                            <w:rPr>
                              <w:b/>
                              <w:spacing w:val="-8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dos</w:t>
                          </w:r>
                          <w:r>
                            <w:rPr>
                              <w:b/>
                              <w:spacing w:val="-9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Vales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9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São</w:t>
                          </w:r>
                          <w:r>
                            <w:rPr>
                              <w:b/>
                              <w:spacing w:val="-9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Francisco</w:t>
                          </w:r>
                          <w:r>
                            <w:rPr>
                              <w:b/>
                              <w:spacing w:val="-1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Parnaíba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left:218.95pt;margin-top:36.45pt;height:25.5pt;width:330.55pt;mso-position-horizontal-relative:page;mso-position-vertical-relative:page;z-index:-251656192;mso-width-relative:page;mso-height-relative:page;" filled="f" stroked="f" coordsize="21600,21600" o:gfxdata="UEsDBAoAAAAAAIdO4kAAAAAAAAAAAAAAAAAEAAAAZHJzL1BLAwQUAAAACACHTuJAUZPwNtoAAAAL&#10;AQAADwAAAGRycy9kb3ducmV2LnhtbE2PzU7DMBCE70i8g7VI3KjdFLU4jVMhBCckRBoOPTqxm1iN&#10;1yF2f3h7tic47a5mNPtNsbn4gZ3sFF1ABfOZAGaxDcZhp+Crfnt4AhaTRqOHgFbBj42wKW9vCp2b&#10;cMbKnrapYxSCMdcK+pTGnPPY9tbrOAujRdL2YfI60Tl13Ez6TOF+4JkQS+61Q/rQ69G+9LY9bI9e&#10;wfMOq1f3/dF8VvvK1bUU+L48KHV/NxdrYMle0p8ZrviEDiUxNeGIJrJBweNiJcmqYJXRvBqElNSu&#10;oS1bSOBlwf93KH8BUEsDBBQAAAAIAIdO4kA+jLvM/wEAAAQEAAAOAAAAZHJzL2Uyb0RvYy54bWyt&#10;U8FuEzEQvSPxD5bvZJO0hXSVTVUaFSGVgtTyAROvN2ux9pixk93y9Yy9SSjl0gMXazweP7/3Zry8&#10;Gmwn9pqCQVfJ2WQqhXYKa+O2lfz+ePtuIUWI4Gro0OlKPukgr1Zv3yx7X+o5ttjVmgSDuFD2vpJt&#10;jL4siqBabSFM0GvHhw2Shchb2hY1Qc/otivm0+n7okeqPaHSIXB2PR7KAyK9BhCbxii9RrWz2sUR&#10;lXQHkSWF1vggV5lt02gVvzZN0FF0lWSlMa/8CMebtBarJZRbAt8adaAAr6HwQpMF4/jRE9QaIogd&#10;mX+grFGEAZs4UWiLUUh2hFXMpi+8eWjB66yFrQ7+ZHr4f7Dqfv+NhKkrOZfCgeWGP+ohio84iPPk&#10;Tu9DyUUPnsviwGmemaw0+DtUP4JweNOC2+prIuxbDTWzm6WbxbOrI05IIJv+C9b8DOwiZqChIZus&#10;YzMEo3Nnnk6dSVQUJ89nlx8uFxdSKD47m58tLnLrCiiPtz2F+EmjFSmoJHHnMzrs70JMbKA8lqTH&#10;HN6arsvd79xfCS5Mmcw+ER6px2EzHNzYYP3EOgjHYeKvxEGL9EuKngepkuHnDkhL0X127EWaumNA&#10;x2BzDMApvlrJKMUY3sRxOneezLZl5NFth9fsV2OylGTsyOLAk4cjKzwMcpq+5/tc9efzrn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ZPwNtoAAAALAQAADwAAAAAAAAABACAAAAAiAAAAZHJzL2Rv&#10;d25yZXYueG1sUEsBAhQAFAAAAAgAh07iQD6Mu8z/AQAABAQAAA4AAAAAAAAAAQAgAAAAKQ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8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05"/>
                        <w:sz w:val="20"/>
                      </w:rPr>
                      <w:t>Ministério</w:t>
                    </w:r>
                    <w:r>
                      <w:rPr>
                        <w:b/>
                        <w:spacing w:val="-1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do</w:t>
                    </w:r>
                    <w:r>
                      <w:rPr>
                        <w:b/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Desenvolvimento</w:t>
                    </w:r>
                    <w:r>
                      <w:rPr>
                        <w:b/>
                        <w:spacing w:val="-1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Regional</w:t>
                    </w:r>
                    <w:r>
                      <w:rPr>
                        <w:b/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-</w:t>
                    </w:r>
                    <w:r>
                      <w:rPr>
                        <w:b/>
                        <w:spacing w:val="-1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MDR</w:t>
                    </w:r>
                  </w:p>
                  <w:p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1"/>
                        <w:w w:val="105"/>
                        <w:sz w:val="20"/>
                      </w:rPr>
                      <w:t>Companhia</w:t>
                    </w:r>
                    <w:r>
                      <w:rPr>
                        <w:b/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w w:val="105"/>
                        <w:sz w:val="20"/>
                      </w:rPr>
                      <w:t>de</w:t>
                    </w:r>
                    <w:r>
                      <w:rPr>
                        <w:b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w w:val="105"/>
                        <w:sz w:val="20"/>
                      </w:rPr>
                      <w:t>Desenvolvimento</w:t>
                    </w:r>
                    <w:r>
                      <w:rPr>
                        <w:b/>
                        <w:spacing w:val="-8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dos</w:t>
                    </w:r>
                    <w:r>
                      <w:rPr>
                        <w:b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Vales</w:t>
                    </w:r>
                    <w:r>
                      <w:rPr>
                        <w:b/>
                        <w:spacing w:val="-1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do</w:t>
                    </w:r>
                    <w:r>
                      <w:rPr>
                        <w:b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São</w:t>
                    </w:r>
                    <w:r>
                      <w:rPr>
                        <w:b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Francisco</w:t>
                    </w:r>
                    <w:r>
                      <w:rPr>
                        <w:b/>
                        <w:spacing w:val="-1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e</w:t>
                    </w:r>
                    <w:r>
                      <w:rPr>
                        <w:b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do</w:t>
                    </w:r>
                    <w:r>
                      <w:rPr>
                        <w:b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Parnaíba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521356"/>
    <w:multiLevelType w:val="singleLevel"/>
    <w:tmpl w:val="9B521356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62D2B651"/>
    <w:multiLevelType w:val="multilevel"/>
    <w:tmpl w:val="62D2B651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hyphenationZone w:val="425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0C"/>
    <w:rsid w:val="00025B90"/>
    <w:rsid w:val="000417BA"/>
    <w:rsid w:val="0007653E"/>
    <w:rsid w:val="000C2916"/>
    <w:rsid w:val="000C7EAA"/>
    <w:rsid w:val="000E76F3"/>
    <w:rsid w:val="000F1035"/>
    <w:rsid w:val="0013500C"/>
    <w:rsid w:val="00145C9E"/>
    <w:rsid w:val="002139EC"/>
    <w:rsid w:val="00251592"/>
    <w:rsid w:val="0026286E"/>
    <w:rsid w:val="0029511C"/>
    <w:rsid w:val="002F49F2"/>
    <w:rsid w:val="00313770"/>
    <w:rsid w:val="00414B57"/>
    <w:rsid w:val="004431F4"/>
    <w:rsid w:val="00541B02"/>
    <w:rsid w:val="005431A0"/>
    <w:rsid w:val="00665ED2"/>
    <w:rsid w:val="006D6C94"/>
    <w:rsid w:val="006E251E"/>
    <w:rsid w:val="00700521"/>
    <w:rsid w:val="0076696C"/>
    <w:rsid w:val="00786883"/>
    <w:rsid w:val="007B762E"/>
    <w:rsid w:val="00821CAC"/>
    <w:rsid w:val="00824FC3"/>
    <w:rsid w:val="0088363C"/>
    <w:rsid w:val="008E0FF5"/>
    <w:rsid w:val="0096558C"/>
    <w:rsid w:val="00970572"/>
    <w:rsid w:val="00986DBE"/>
    <w:rsid w:val="009A71E1"/>
    <w:rsid w:val="00A647C9"/>
    <w:rsid w:val="00B74598"/>
    <w:rsid w:val="00B77366"/>
    <w:rsid w:val="00BD64E7"/>
    <w:rsid w:val="00C35158"/>
    <w:rsid w:val="00CA453F"/>
    <w:rsid w:val="00DA0358"/>
    <w:rsid w:val="00DF02D9"/>
    <w:rsid w:val="00E65AB4"/>
    <w:rsid w:val="00EB1DD9"/>
    <w:rsid w:val="00F31576"/>
    <w:rsid w:val="00F47665"/>
    <w:rsid w:val="00F503ED"/>
    <w:rsid w:val="00F52D60"/>
    <w:rsid w:val="00FF0032"/>
    <w:rsid w:val="01A6223F"/>
    <w:rsid w:val="03435D32"/>
    <w:rsid w:val="03E42D1F"/>
    <w:rsid w:val="055B6FB6"/>
    <w:rsid w:val="05877F24"/>
    <w:rsid w:val="07DE683D"/>
    <w:rsid w:val="08395428"/>
    <w:rsid w:val="0C69476C"/>
    <w:rsid w:val="0DA1108E"/>
    <w:rsid w:val="0DD33A13"/>
    <w:rsid w:val="0F2C7FC2"/>
    <w:rsid w:val="0F623C0F"/>
    <w:rsid w:val="138959E3"/>
    <w:rsid w:val="148C1A0E"/>
    <w:rsid w:val="14A32AD4"/>
    <w:rsid w:val="16AD44AE"/>
    <w:rsid w:val="193813BA"/>
    <w:rsid w:val="195A36C7"/>
    <w:rsid w:val="19770EE3"/>
    <w:rsid w:val="1A6636AB"/>
    <w:rsid w:val="1C7402ED"/>
    <w:rsid w:val="1C7F4C8B"/>
    <w:rsid w:val="206B74ED"/>
    <w:rsid w:val="20EE35B7"/>
    <w:rsid w:val="2118300D"/>
    <w:rsid w:val="226D61FF"/>
    <w:rsid w:val="22EE5D2D"/>
    <w:rsid w:val="23D709B7"/>
    <w:rsid w:val="27BD5626"/>
    <w:rsid w:val="2A6B206B"/>
    <w:rsid w:val="2C447C8F"/>
    <w:rsid w:val="2C8926D9"/>
    <w:rsid w:val="2CBB5F4D"/>
    <w:rsid w:val="2CF75B39"/>
    <w:rsid w:val="2D8832A9"/>
    <w:rsid w:val="2ECB4CA9"/>
    <w:rsid w:val="2F412D20"/>
    <w:rsid w:val="346756A3"/>
    <w:rsid w:val="36232900"/>
    <w:rsid w:val="374C32C8"/>
    <w:rsid w:val="3BB34351"/>
    <w:rsid w:val="3C741935"/>
    <w:rsid w:val="3F6E5909"/>
    <w:rsid w:val="436A1768"/>
    <w:rsid w:val="47166362"/>
    <w:rsid w:val="47475110"/>
    <w:rsid w:val="47EB4C6D"/>
    <w:rsid w:val="484D4026"/>
    <w:rsid w:val="4A266DE0"/>
    <w:rsid w:val="4ED973E6"/>
    <w:rsid w:val="4F35183A"/>
    <w:rsid w:val="525D5EC9"/>
    <w:rsid w:val="53BB45DA"/>
    <w:rsid w:val="577C5DA9"/>
    <w:rsid w:val="58405ACA"/>
    <w:rsid w:val="5AF5460E"/>
    <w:rsid w:val="5BCF16A7"/>
    <w:rsid w:val="5C691E93"/>
    <w:rsid w:val="5D35760E"/>
    <w:rsid w:val="5D656159"/>
    <w:rsid w:val="5DFB549D"/>
    <w:rsid w:val="5EC47EA1"/>
    <w:rsid w:val="5EE255BA"/>
    <w:rsid w:val="61221C34"/>
    <w:rsid w:val="626B00A4"/>
    <w:rsid w:val="66CF3F38"/>
    <w:rsid w:val="691356DA"/>
    <w:rsid w:val="6BBD336B"/>
    <w:rsid w:val="6EC06FBB"/>
    <w:rsid w:val="6F963864"/>
    <w:rsid w:val="6FB83721"/>
    <w:rsid w:val="71D04D22"/>
    <w:rsid w:val="74296B80"/>
    <w:rsid w:val="749F68AA"/>
    <w:rsid w:val="75C31078"/>
    <w:rsid w:val="76077E3A"/>
    <w:rsid w:val="784D5127"/>
    <w:rsid w:val="7A8D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next w:val="1"/>
    <w:qFormat/>
    <w:uiPriority w:val="9"/>
    <w:pPr>
      <w:ind w:left="143" w:hanging="534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800080"/>
      <w:u w:val="single"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7">
    <w:name w:val="Body Text"/>
    <w:basedOn w:val="1"/>
    <w:qFormat/>
    <w:uiPriority w:val="1"/>
  </w:style>
  <w:style w:type="paragraph" w:styleId="8">
    <w:name w:val="Normal (Web)"/>
    <w:basedOn w:val="1"/>
    <w:semiHidden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styleId="9">
    <w:name w:val="header"/>
    <w:basedOn w:val="1"/>
    <w:link w:val="15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252"/>
        <w:tab w:val="right" w:pos="8504"/>
      </w:tabs>
    </w:pPr>
  </w:style>
  <w:style w:type="table" w:styleId="11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143" w:hanging="534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Cabeçalho Char"/>
    <w:basedOn w:val="3"/>
    <w:link w:val="9"/>
    <w:qFormat/>
    <w:uiPriority w:val="99"/>
    <w:rPr>
      <w:rFonts w:ascii="Times New Roman" w:hAnsi="Times New Roman" w:eastAsia="Times New Roman" w:cs="Times New Roman"/>
      <w:lang w:val="pt-PT"/>
    </w:rPr>
  </w:style>
  <w:style w:type="character" w:customStyle="1" w:styleId="16">
    <w:name w:val="Rodapé Char"/>
    <w:basedOn w:val="3"/>
    <w:link w:val="10"/>
    <w:qFormat/>
    <w:uiPriority w:val="99"/>
    <w:rPr>
      <w:rFonts w:ascii="Times New Roman" w:hAnsi="Times New Roman" w:eastAsia="Times New Roman" w:cs="Times New Roman"/>
      <w:lang w:val="pt-PT"/>
    </w:rPr>
  </w:style>
  <w:style w:type="character" w:customStyle="1" w:styleId="17">
    <w:name w:val="halyaf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1834</Words>
  <Characters>9909</Characters>
  <Lines>82</Lines>
  <Paragraphs>23</Paragraphs>
  <TotalTime>43</TotalTime>
  <ScaleCrop>false</ScaleCrop>
  <LinksUpToDate>false</LinksUpToDate>
  <CharactersWithSpaces>11720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2022-06-06T14:07:00Z</dcterms:created>
  <dc:creator>Maria Camila Costa Madeira</dc:creator>
  <cp:lastModifiedBy>EST290928</cp:lastModifiedBy>
  <cp:lastPrinted>2022-06-13T14:50:00Z</cp:lastPrinted>
  <dcterms:modified xsi:type="dcterms:W3CDTF">2023-10-24T17:25:52Z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LastSaved">
    <vt:filetime>2022-06-06T00:00:00Z</vt:filetime>
  </property>
  <property fmtid="{D5CDD505-2E9C-101B-9397-08002B2CF9AE}" pid="4" name="KSOProductBuildVer">
    <vt:lpwstr>1046-12.2.0.13266</vt:lpwstr>
  </property>
  <property fmtid="{D5CDD505-2E9C-101B-9397-08002B2CF9AE}" pid="5" name="ICV">
    <vt:lpwstr>1467385BBA9D4F01A99F56BDDD8F70F6_13</vt:lpwstr>
  </property>
</Properties>
</file>